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1F6AC497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080C7A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DD08F5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2820B037" w:rsidR="00EF738D" w:rsidRDefault="00EF738D" w:rsidP="00EF738D">
      <w:pPr>
        <w:pStyle w:val="ListParagraph"/>
        <w:numPr>
          <w:ilvl w:val="0"/>
          <w:numId w:val="3"/>
        </w:numPr>
      </w:pPr>
      <w:r>
        <w:t xml:space="preserve">Pupils have 4 lessons of science a week.  </w:t>
      </w:r>
    </w:p>
    <w:p w14:paraId="0BFF1D19" w14:textId="78480946" w:rsidR="00EF738D" w:rsidRDefault="00EF738D" w:rsidP="00EF738D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Pr="00EF738D">
        <w:rPr>
          <w:b/>
          <w:bCs/>
          <w:color w:val="BF8F00" w:themeColor="accent4" w:themeShade="BF"/>
        </w:rPr>
        <w:t xml:space="preserve">Exploring Science </w:t>
      </w:r>
      <w:r>
        <w:rPr>
          <w:b/>
          <w:bCs/>
          <w:color w:val="BF8F00" w:themeColor="accent4" w:themeShade="BF"/>
        </w:rPr>
        <w:t xml:space="preserve">8 </w:t>
      </w:r>
      <w:r>
        <w:t xml:space="preserve">on-line textbook.  </w:t>
      </w:r>
    </w:p>
    <w:p w14:paraId="470676E6" w14:textId="5874149F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the pages and then answer the intext questions in full sentences in their books.</w:t>
      </w:r>
      <w:r w:rsidR="001C3F52">
        <w:t xml:space="preserve">  For extension they could also</w:t>
      </w:r>
      <w:r w:rsidR="00367788">
        <w:t xml:space="preserve"> 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</w:p>
    <w:p w14:paraId="5E0C2A26" w14:textId="77777777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A0B9424" w14:textId="77777777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0342F9" w14:paraId="1E7168FD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27544FC9" w14:textId="77777777" w:rsidR="000342F9" w:rsidRDefault="000342F9" w:rsidP="000342F9">
            <w:r>
              <w:t>19</w:t>
            </w:r>
            <w:r w:rsidRPr="00454C23">
              <w:rPr>
                <w:vertAlign w:val="superscript"/>
              </w:rPr>
              <w:t>th</w:t>
            </w:r>
            <w:r>
              <w:t xml:space="preserve"> April </w:t>
            </w:r>
          </w:p>
          <w:p w14:paraId="42009E67" w14:textId="2C9AC3E5" w:rsidR="000342F9" w:rsidRDefault="000342F9" w:rsidP="000342F9"/>
        </w:tc>
        <w:tc>
          <w:tcPr>
            <w:tcW w:w="4820" w:type="dxa"/>
          </w:tcPr>
          <w:p w14:paraId="153EC9E1" w14:textId="77777777" w:rsidR="00295E33" w:rsidRDefault="00295E33" w:rsidP="000342F9">
            <w:r>
              <w:t>NEW TOPIC: 8K Energy Transfers</w:t>
            </w:r>
          </w:p>
          <w:p w14:paraId="621C9644" w14:textId="77777777" w:rsidR="00295E33" w:rsidRDefault="00295E33" w:rsidP="000342F9"/>
          <w:p w14:paraId="0F275539" w14:textId="0278FC62" w:rsidR="000342F9" w:rsidRDefault="000342F9" w:rsidP="000342F9">
            <w:r>
              <w:t xml:space="preserve">Lesson 1: </w:t>
            </w:r>
            <w:r w:rsidR="00BF2881">
              <w:t>Evaporation</w:t>
            </w:r>
          </w:p>
          <w:p w14:paraId="73D8397D" w14:textId="0696AC5D" w:rsidR="000342F9" w:rsidRDefault="000342F9" w:rsidP="000342F9">
            <w:r>
              <w:t xml:space="preserve">Lesson 2: </w:t>
            </w:r>
            <w:r w:rsidR="00BF2881">
              <w:t>Radiation</w:t>
            </w:r>
          </w:p>
          <w:p w14:paraId="78323844" w14:textId="58BD09D6" w:rsidR="00BF2881" w:rsidRDefault="00BF2881" w:rsidP="000342F9">
            <w:r>
              <w:t>Lesson 3: Conduction</w:t>
            </w:r>
          </w:p>
          <w:p w14:paraId="498EE579" w14:textId="6C4CF2D2" w:rsidR="000342F9" w:rsidRDefault="00BF2881" w:rsidP="000342F9">
            <w:r>
              <w:t>Lesson</w:t>
            </w:r>
            <w:r w:rsidR="000342F9">
              <w:t xml:space="preserve"> 4: </w:t>
            </w:r>
            <w:r>
              <w:t>Convection</w:t>
            </w:r>
            <w:r w:rsidR="000342F9">
              <w:t xml:space="preserve"> </w:t>
            </w:r>
          </w:p>
          <w:p w14:paraId="41C8F396" w14:textId="7F5BE98E" w:rsidR="000342F9" w:rsidRDefault="000342F9" w:rsidP="000342F9"/>
        </w:tc>
        <w:tc>
          <w:tcPr>
            <w:tcW w:w="3118" w:type="dxa"/>
          </w:tcPr>
          <w:p w14:paraId="0707D5A1" w14:textId="77777777" w:rsidR="000342F9" w:rsidRDefault="000342F9" w:rsidP="000342F9">
            <w:pPr>
              <w:rPr>
                <w:color w:val="000000" w:themeColor="text1"/>
              </w:rPr>
            </w:pPr>
          </w:p>
          <w:p w14:paraId="25C497C4" w14:textId="2A7C8BB1" w:rsidR="000342F9" w:rsidRPr="00EF738D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See Show My Homework for lesson resources – contact your teacher for further information as required </w:t>
            </w:r>
          </w:p>
        </w:tc>
      </w:tr>
      <w:tr w:rsidR="000342F9" w14:paraId="075CDEE3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6885A33D" w14:textId="24D38831" w:rsidR="000342F9" w:rsidRDefault="000342F9" w:rsidP="000342F9">
            <w:r>
              <w:t>26</w:t>
            </w:r>
            <w:r w:rsidRPr="00454C23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D383911" w14:textId="7BE57F4B" w:rsidR="000342F9" w:rsidRDefault="000342F9" w:rsidP="000342F9"/>
        </w:tc>
        <w:tc>
          <w:tcPr>
            <w:tcW w:w="4820" w:type="dxa"/>
          </w:tcPr>
          <w:p w14:paraId="456A00C7" w14:textId="0FEB5A62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1: </w:t>
            </w:r>
            <w:r w:rsidR="00BF2881">
              <w:rPr>
                <w:color w:val="000000" w:themeColor="text1"/>
              </w:rPr>
              <w:t>Controlling energy transfers</w:t>
            </w:r>
          </w:p>
          <w:p w14:paraId="52F71A2C" w14:textId="77777777" w:rsidR="00BF2881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Lesson 2</w:t>
            </w:r>
            <w:r w:rsidR="00BF2881">
              <w:rPr>
                <w:color w:val="000000" w:themeColor="text1"/>
              </w:rPr>
              <w:t>: Power</w:t>
            </w:r>
          </w:p>
          <w:p w14:paraId="10E16B33" w14:textId="1F47B1E8" w:rsidR="000342F9" w:rsidRDefault="00BF2881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</w:t>
            </w:r>
            <w:r w:rsidR="000342F9">
              <w:rPr>
                <w:color w:val="000000" w:themeColor="text1"/>
              </w:rPr>
              <w:t xml:space="preserve">3: </w:t>
            </w:r>
            <w:r>
              <w:t>Efficiency</w:t>
            </w:r>
          </w:p>
          <w:p w14:paraId="44EAFD9C" w14:textId="119A8FED" w:rsidR="000342F9" w:rsidRPr="000278A8" w:rsidRDefault="000342F9" w:rsidP="00BF2881">
            <w:r>
              <w:rPr>
                <w:color w:val="000000" w:themeColor="text1"/>
              </w:rPr>
              <w:t xml:space="preserve">Lesson 4: </w:t>
            </w:r>
            <w:r w:rsidR="00BF2881">
              <w:rPr>
                <w:color w:val="000000" w:themeColor="text1"/>
              </w:rPr>
              <w:t>Payback time</w:t>
            </w:r>
            <w:r>
              <w:rPr>
                <w:color w:val="000000" w:themeColor="text1"/>
              </w:rPr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14:paraId="77176AD0" w14:textId="77777777" w:rsidR="000342F9" w:rsidRDefault="000342F9" w:rsidP="000342F9"/>
          <w:p w14:paraId="4B94D5A5" w14:textId="5869945D" w:rsidR="000342F9" w:rsidRDefault="000342F9" w:rsidP="000342F9">
            <w:r>
              <w:rPr>
                <w:color w:val="000000" w:themeColor="text1"/>
              </w:rPr>
              <w:t>See Show My Homework for lesson resources – contact your teacher for further information as required</w:t>
            </w:r>
          </w:p>
        </w:tc>
      </w:tr>
      <w:tr w:rsidR="000342F9" w14:paraId="73DCB6DD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538E3FD2" w14:textId="6CB3E924" w:rsidR="000342F9" w:rsidRDefault="000342F9" w:rsidP="000342F9">
            <w:r>
              <w:t>3</w:t>
            </w:r>
            <w:r w:rsidRPr="00454C23">
              <w:rPr>
                <w:vertAlign w:val="superscript"/>
              </w:rPr>
              <w:t>rd</w:t>
            </w:r>
            <w:r>
              <w:t xml:space="preserve"> May </w:t>
            </w:r>
          </w:p>
        </w:tc>
        <w:tc>
          <w:tcPr>
            <w:tcW w:w="4820" w:type="dxa"/>
          </w:tcPr>
          <w:p w14:paraId="21913CD1" w14:textId="7D6E9A93" w:rsidR="00BF2881" w:rsidRDefault="00BF2881" w:rsidP="00BF28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Lesson 1: AWOL</w:t>
            </w:r>
          </w:p>
          <w:p w14:paraId="5BD6DEBD" w14:textId="1FB4D835" w:rsidR="00BF2881" w:rsidRDefault="00BF2881" w:rsidP="00BF28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Lesson 2: AWOL</w:t>
            </w:r>
          </w:p>
          <w:p w14:paraId="5D2BD711" w14:textId="43A14C10" w:rsidR="00BF2881" w:rsidRDefault="00BF2881" w:rsidP="00BF28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3: </w:t>
            </w:r>
            <w:r>
              <w:t>Revision on 8K (Energy transfers) and 8L (Earth and Space)</w:t>
            </w:r>
          </w:p>
          <w:p w14:paraId="13333D4C" w14:textId="41ECF0E0" w:rsidR="000342F9" w:rsidRDefault="00BF2881" w:rsidP="00BF2881">
            <w:r>
              <w:rPr>
                <w:color w:val="000000" w:themeColor="text1"/>
              </w:rPr>
              <w:t xml:space="preserve">Lesson 4: Test </w:t>
            </w:r>
            <w:r>
              <w:t xml:space="preserve"> </w:t>
            </w:r>
          </w:p>
        </w:tc>
        <w:tc>
          <w:tcPr>
            <w:tcW w:w="3118" w:type="dxa"/>
          </w:tcPr>
          <w:p w14:paraId="2FC35691" w14:textId="5F396DF6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See SMHW and contact your teacher for further information </w:t>
            </w:r>
          </w:p>
        </w:tc>
      </w:tr>
      <w:tr w:rsidR="000342F9" w14:paraId="3656B9AB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4CDA61DF" w14:textId="77777777" w:rsidR="000342F9" w:rsidRDefault="000342F9" w:rsidP="000342F9">
            <w:r>
              <w:t>10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</w:p>
          <w:p w14:paraId="45FB0818" w14:textId="4A196F94" w:rsidR="000342F9" w:rsidRDefault="000342F9" w:rsidP="000342F9"/>
        </w:tc>
        <w:tc>
          <w:tcPr>
            <w:tcW w:w="4820" w:type="dxa"/>
          </w:tcPr>
          <w:p w14:paraId="7DBDA011" w14:textId="77777777" w:rsidR="00295E33" w:rsidRDefault="00295E33" w:rsidP="000342F9">
            <w:r>
              <w:t>NEW TOPIC: REPRODUCTION</w:t>
            </w:r>
          </w:p>
          <w:p w14:paraId="568642AD" w14:textId="77777777" w:rsidR="00295E33" w:rsidRDefault="00295E33" w:rsidP="000342F9"/>
          <w:p w14:paraId="77B8DE0E" w14:textId="3B8569B6" w:rsidR="00295E33" w:rsidRDefault="000342F9" w:rsidP="000342F9">
            <w:r>
              <w:t>Lesson 1</w:t>
            </w:r>
            <w:r w:rsidR="00295E33">
              <w:t xml:space="preserve">: </w:t>
            </w:r>
            <w:r w:rsidR="00A91CAF">
              <w:t>Male reproductive system</w:t>
            </w:r>
          </w:p>
          <w:p w14:paraId="30AAF31B" w14:textId="753BDECA" w:rsidR="000342F9" w:rsidRDefault="00295E33" w:rsidP="000342F9">
            <w:r>
              <w:t xml:space="preserve">Lesson </w:t>
            </w:r>
            <w:r w:rsidR="000342F9">
              <w:t xml:space="preserve">2: </w:t>
            </w:r>
            <w:r w:rsidR="00A91CAF">
              <w:t>Female reproductive system</w:t>
            </w:r>
          </w:p>
          <w:p w14:paraId="268E4007" w14:textId="5058AEEF" w:rsidR="000342F9" w:rsidRDefault="000342F9" w:rsidP="000342F9">
            <w:r>
              <w:t xml:space="preserve">Lesson 3: </w:t>
            </w:r>
            <w:r w:rsidR="00A91CAF">
              <w:t xml:space="preserve">Puberty </w:t>
            </w:r>
          </w:p>
          <w:p w14:paraId="049F31CB" w14:textId="5CBBDED5" w:rsidR="000342F9" w:rsidRPr="00EF738D" w:rsidRDefault="000342F9" w:rsidP="00295E33">
            <w:pPr>
              <w:rPr>
                <w:color w:val="000000" w:themeColor="text1"/>
              </w:rPr>
            </w:pPr>
            <w:r>
              <w:t xml:space="preserve">Lesson 4: </w:t>
            </w:r>
            <w:r w:rsidR="00295E33">
              <w:t>Periods</w:t>
            </w:r>
          </w:p>
        </w:tc>
        <w:tc>
          <w:tcPr>
            <w:tcW w:w="3118" w:type="dxa"/>
          </w:tcPr>
          <w:p w14:paraId="53128261" w14:textId="17CF2D5A" w:rsidR="000342F9" w:rsidRDefault="000342F9" w:rsidP="000342F9">
            <w:r>
              <w:rPr>
                <w:color w:val="000000" w:themeColor="text1"/>
              </w:rPr>
              <w:t>See Show My Homework for lesson resources – contact your teacher for further information as required</w:t>
            </w:r>
          </w:p>
        </w:tc>
      </w:tr>
      <w:tr w:rsidR="000342F9" w14:paraId="4101652C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4B99056E" w14:textId="0A2BBEEB" w:rsidR="000342F9" w:rsidRDefault="000342F9" w:rsidP="000342F9">
            <w:r>
              <w:t>17</w:t>
            </w:r>
            <w:r w:rsidRPr="00454C23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4820" w:type="dxa"/>
          </w:tcPr>
          <w:p w14:paraId="2E14918D" w14:textId="75A661CB" w:rsidR="000342F9" w:rsidRDefault="000342F9" w:rsidP="000342F9">
            <w:r>
              <w:t xml:space="preserve">Lesson 1: </w:t>
            </w:r>
            <w:r w:rsidR="00295E33">
              <w:t>Sexual reproduction</w:t>
            </w:r>
          </w:p>
          <w:p w14:paraId="23E1C339" w14:textId="2A36E342" w:rsidR="000342F9" w:rsidRDefault="000342F9" w:rsidP="000342F9">
            <w:r>
              <w:t xml:space="preserve">Lesson 2: </w:t>
            </w:r>
            <w:r w:rsidR="00295E33">
              <w:t>Pregnancy and Birth</w:t>
            </w:r>
          </w:p>
          <w:p w14:paraId="2B48FE82" w14:textId="0F64BCAF" w:rsidR="000342F9" w:rsidRDefault="000342F9" w:rsidP="000342F9">
            <w:r>
              <w:t xml:space="preserve">Lesson 3: </w:t>
            </w:r>
            <w:r w:rsidR="00295E33">
              <w:t>Asexual reproduction</w:t>
            </w:r>
          </w:p>
          <w:p w14:paraId="1299C43A" w14:textId="041A6EFB" w:rsidR="000342F9" w:rsidRPr="000278A8" w:rsidRDefault="000342F9" w:rsidP="00295E33">
            <w:r>
              <w:t xml:space="preserve">Lesson 4: </w:t>
            </w:r>
            <w:r w:rsidR="00E62DD1">
              <w:t>Plant reproduction</w:t>
            </w:r>
          </w:p>
        </w:tc>
        <w:tc>
          <w:tcPr>
            <w:tcW w:w="3118" w:type="dxa"/>
          </w:tcPr>
          <w:p w14:paraId="261D0465" w14:textId="77777777" w:rsidR="000342F9" w:rsidRDefault="000342F9" w:rsidP="000342F9">
            <w:r>
              <w:t>Pages 182-183</w:t>
            </w:r>
          </w:p>
          <w:p w14:paraId="0C5B3309" w14:textId="77777777" w:rsidR="000342F9" w:rsidRDefault="000342F9" w:rsidP="000342F9">
            <w:r>
              <w:t>Pages 182-183</w:t>
            </w:r>
          </w:p>
          <w:p w14:paraId="1B78CA9C" w14:textId="77777777" w:rsidR="000342F9" w:rsidRDefault="000342F9" w:rsidP="000342F9">
            <w:r>
              <w:t>Pages 186-187</w:t>
            </w:r>
          </w:p>
          <w:p w14:paraId="4DDBEF00" w14:textId="04019579" w:rsidR="000342F9" w:rsidRDefault="000342F9" w:rsidP="000342F9">
            <w:r>
              <w:t>Pages 188-189</w:t>
            </w:r>
          </w:p>
        </w:tc>
      </w:tr>
      <w:tr w:rsidR="000342F9" w14:paraId="3CF2D8B6" w14:textId="77777777" w:rsidTr="00BF2881">
        <w:tc>
          <w:tcPr>
            <w:tcW w:w="1838" w:type="dxa"/>
            <w:shd w:val="clear" w:color="auto" w:fill="FFE599" w:themeFill="accent4" w:themeFillTint="66"/>
          </w:tcPr>
          <w:p w14:paraId="0FB78278" w14:textId="1EE57C73" w:rsidR="000342F9" w:rsidRDefault="000342F9" w:rsidP="000342F9">
            <w:r>
              <w:t>24</w:t>
            </w:r>
            <w:r w:rsidRPr="00454C23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4820" w:type="dxa"/>
          </w:tcPr>
          <w:p w14:paraId="7765F0E9" w14:textId="2B0094C1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1: </w:t>
            </w:r>
            <w:r w:rsidR="00295E33">
              <w:rPr>
                <w:color w:val="000000" w:themeColor="text1"/>
              </w:rPr>
              <w:t>AWOL</w:t>
            </w:r>
          </w:p>
          <w:p w14:paraId="63D3BD01" w14:textId="50578A2D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2: </w:t>
            </w:r>
            <w:r w:rsidR="00295E33">
              <w:rPr>
                <w:color w:val="000000" w:themeColor="text1"/>
              </w:rPr>
              <w:t>AWOL</w:t>
            </w:r>
          </w:p>
          <w:p w14:paraId="5E6CB924" w14:textId="34A14C80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3: </w:t>
            </w:r>
            <w:r w:rsidR="00295E33">
              <w:rPr>
                <w:color w:val="000000" w:themeColor="text1"/>
              </w:rPr>
              <w:t>Revision</w:t>
            </w:r>
          </w:p>
          <w:p w14:paraId="1FC39945" w14:textId="1A5E7453" w:rsidR="000342F9" w:rsidRPr="00C652FE" w:rsidRDefault="000342F9" w:rsidP="00295E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4: </w:t>
            </w:r>
            <w:r w:rsidR="00295E33">
              <w:rPr>
                <w:color w:val="000000" w:themeColor="text1"/>
              </w:rPr>
              <w:t>Test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4BCFEB6B" w14:textId="77777777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190-191</w:t>
            </w:r>
          </w:p>
          <w:p w14:paraId="1A6F2F1A" w14:textId="77777777" w:rsidR="000342F9" w:rsidRDefault="000342F9" w:rsidP="000342F9">
            <w:pPr>
              <w:rPr>
                <w:color w:val="000000" w:themeColor="text1"/>
              </w:rPr>
            </w:pPr>
          </w:p>
          <w:p w14:paraId="50479414" w14:textId="77777777" w:rsidR="000342F9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195-195</w:t>
            </w:r>
          </w:p>
          <w:p w14:paraId="0562CB0E" w14:textId="6508AAD1" w:rsidR="000342F9" w:rsidRPr="00C652FE" w:rsidRDefault="000342F9" w:rsidP="000342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182-195</w:t>
            </w:r>
          </w:p>
        </w:tc>
      </w:tr>
    </w:tbl>
    <w:p w14:paraId="6B699379" w14:textId="02874503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278A8"/>
    <w:rsid w:val="000342F9"/>
    <w:rsid w:val="00080C7A"/>
    <w:rsid w:val="00087ABC"/>
    <w:rsid w:val="0009390D"/>
    <w:rsid w:val="00094C15"/>
    <w:rsid w:val="000F7E6C"/>
    <w:rsid w:val="001010CF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8354B"/>
    <w:rsid w:val="001A6B4B"/>
    <w:rsid w:val="001A7CFE"/>
    <w:rsid w:val="001B18BD"/>
    <w:rsid w:val="001C2F95"/>
    <w:rsid w:val="001C3F52"/>
    <w:rsid w:val="001C67DC"/>
    <w:rsid w:val="001D50FE"/>
    <w:rsid w:val="001F6220"/>
    <w:rsid w:val="00227A58"/>
    <w:rsid w:val="0025772F"/>
    <w:rsid w:val="00295E33"/>
    <w:rsid w:val="002D5C9D"/>
    <w:rsid w:val="002E567B"/>
    <w:rsid w:val="0030580B"/>
    <w:rsid w:val="003219D3"/>
    <w:rsid w:val="00326ABB"/>
    <w:rsid w:val="00335704"/>
    <w:rsid w:val="00335A2B"/>
    <w:rsid w:val="00336E56"/>
    <w:rsid w:val="00367788"/>
    <w:rsid w:val="0038551D"/>
    <w:rsid w:val="003A6577"/>
    <w:rsid w:val="003C03F3"/>
    <w:rsid w:val="003E73F2"/>
    <w:rsid w:val="003F0E2D"/>
    <w:rsid w:val="0045451B"/>
    <w:rsid w:val="004A4C21"/>
    <w:rsid w:val="004F1639"/>
    <w:rsid w:val="005300A2"/>
    <w:rsid w:val="0053787A"/>
    <w:rsid w:val="00547AC3"/>
    <w:rsid w:val="00585106"/>
    <w:rsid w:val="00585B0E"/>
    <w:rsid w:val="005A2EF5"/>
    <w:rsid w:val="005D0B00"/>
    <w:rsid w:val="005F64D0"/>
    <w:rsid w:val="00613305"/>
    <w:rsid w:val="00615F5C"/>
    <w:rsid w:val="00636821"/>
    <w:rsid w:val="006D41D7"/>
    <w:rsid w:val="0070113E"/>
    <w:rsid w:val="00722BA9"/>
    <w:rsid w:val="00754BBB"/>
    <w:rsid w:val="00767BA0"/>
    <w:rsid w:val="00774AC3"/>
    <w:rsid w:val="007A56A4"/>
    <w:rsid w:val="007D4C16"/>
    <w:rsid w:val="008159C4"/>
    <w:rsid w:val="0083252E"/>
    <w:rsid w:val="008472B0"/>
    <w:rsid w:val="00871B5A"/>
    <w:rsid w:val="0089684E"/>
    <w:rsid w:val="008C3B69"/>
    <w:rsid w:val="00905832"/>
    <w:rsid w:val="00922EF9"/>
    <w:rsid w:val="00926620"/>
    <w:rsid w:val="00967A1C"/>
    <w:rsid w:val="00967F53"/>
    <w:rsid w:val="009775D1"/>
    <w:rsid w:val="009D33FE"/>
    <w:rsid w:val="009F7502"/>
    <w:rsid w:val="00A01A3E"/>
    <w:rsid w:val="00A40EC2"/>
    <w:rsid w:val="00A54DBF"/>
    <w:rsid w:val="00A763E0"/>
    <w:rsid w:val="00A907D4"/>
    <w:rsid w:val="00A91CAF"/>
    <w:rsid w:val="00AB352B"/>
    <w:rsid w:val="00AD7615"/>
    <w:rsid w:val="00B10B59"/>
    <w:rsid w:val="00B302C2"/>
    <w:rsid w:val="00B361C4"/>
    <w:rsid w:val="00B37DA6"/>
    <w:rsid w:val="00B40202"/>
    <w:rsid w:val="00B62A17"/>
    <w:rsid w:val="00B906FD"/>
    <w:rsid w:val="00B95003"/>
    <w:rsid w:val="00BA0DB3"/>
    <w:rsid w:val="00BB41E5"/>
    <w:rsid w:val="00BE4DED"/>
    <w:rsid w:val="00BF0D5A"/>
    <w:rsid w:val="00BF2881"/>
    <w:rsid w:val="00C157B3"/>
    <w:rsid w:val="00C25959"/>
    <w:rsid w:val="00C25E1B"/>
    <w:rsid w:val="00C55220"/>
    <w:rsid w:val="00C62636"/>
    <w:rsid w:val="00C652FE"/>
    <w:rsid w:val="00C9301E"/>
    <w:rsid w:val="00C95598"/>
    <w:rsid w:val="00CD6729"/>
    <w:rsid w:val="00CD6DB0"/>
    <w:rsid w:val="00CE4F29"/>
    <w:rsid w:val="00CF088D"/>
    <w:rsid w:val="00D301B2"/>
    <w:rsid w:val="00D402B9"/>
    <w:rsid w:val="00D446FC"/>
    <w:rsid w:val="00D46C6A"/>
    <w:rsid w:val="00D5583B"/>
    <w:rsid w:val="00D72FB8"/>
    <w:rsid w:val="00D740FF"/>
    <w:rsid w:val="00D85E0D"/>
    <w:rsid w:val="00DC307B"/>
    <w:rsid w:val="00DC6226"/>
    <w:rsid w:val="00DC7B77"/>
    <w:rsid w:val="00DD08F5"/>
    <w:rsid w:val="00DE7D5C"/>
    <w:rsid w:val="00DF161F"/>
    <w:rsid w:val="00DF389E"/>
    <w:rsid w:val="00E4740A"/>
    <w:rsid w:val="00E500DF"/>
    <w:rsid w:val="00E541B8"/>
    <w:rsid w:val="00E62DD1"/>
    <w:rsid w:val="00EA7035"/>
    <w:rsid w:val="00EB08FD"/>
    <w:rsid w:val="00EB6C32"/>
    <w:rsid w:val="00EF1A56"/>
    <w:rsid w:val="00EF738D"/>
    <w:rsid w:val="00F01153"/>
    <w:rsid w:val="00F07E94"/>
    <w:rsid w:val="00F118A3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8322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9003-FAEA-4C32-BF0F-3D7D72A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Paula Muir</cp:lastModifiedBy>
  <cp:revision>6</cp:revision>
  <dcterms:created xsi:type="dcterms:W3CDTF">2021-03-29T07:29:00Z</dcterms:created>
  <dcterms:modified xsi:type="dcterms:W3CDTF">2021-05-11T07:00:00Z</dcterms:modified>
</cp:coreProperties>
</file>