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430272F9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3A4F9305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31ACAA0E" w:rsidR="00984C9A" w:rsidRDefault="00984C9A">
                            <w:r>
                              <w:rPr>
                                <w:b/>
                                <w:bCs/>
                                <w:noProof/>
                                <w:color w:val="BF8F00" w:themeColor="accent4" w:themeShade="BF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68EECBCD" wp14:editId="2C0D6FCF">
                                  <wp:extent cx="856957" cy="6477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enc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37" cy="65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31ACAA0E" w:rsidR="00984C9A" w:rsidRDefault="00984C9A">
                      <w:r>
                        <w:rPr>
                          <w:b/>
                          <w:bCs/>
                          <w:noProof/>
                          <w:color w:val="BF8F00" w:themeColor="accent4" w:themeShade="BF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68EECBCD" wp14:editId="2C0D6FCF">
                            <wp:extent cx="856957" cy="6477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enc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337" cy="65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B40202" w:rsidRPr="006D41D7">
        <w:rPr>
          <w:b/>
          <w:bCs/>
          <w:color w:val="BF8F00" w:themeColor="accent4" w:themeShade="BF"/>
          <w:sz w:val="40"/>
          <w:szCs w:val="40"/>
        </w:rPr>
        <w:t>8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>
        <w:rPr>
          <w:b/>
          <w:bCs/>
          <w:color w:val="BF8F00" w:themeColor="accent4" w:themeShade="BF"/>
          <w:sz w:val="40"/>
          <w:szCs w:val="40"/>
        </w:rPr>
        <w:t>French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613F3C">
        <w:rPr>
          <w:b/>
          <w:bCs/>
          <w:color w:val="BF8F00" w:themeColor="accent4" w:themeShade="BF"/>
          <w:sz w:val="40"/>
          <w:szCs w:val="40"/>
        </w:rPr>
        <w:t>TERM 5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79988438" w:rsidR="00EF738D" w:rsidRDefault="00984C9A" w:rsidP="00EF738D">
      <w:pPr>
        <w:pStyle w:val="ListParagraph"/>
        <w:numPr>
          <w:ilvl w:val="0"/>
          <w:numId w:val="3"/>
        </w:numPr>
      </w:pPr>
      <w:r>
        <w:t>Pupils have 3</w:t>
      </w:r>
      <w:r w:rsidR="00EF738D">
        <w:t xml:space="preserve"> lessons of </w:t>
      </w:r>
      <w:r w:rsidR="009A7C47">
        <w:t>French</w:t>
      </w:r>
      <w:r w:rsidR="00EF738D">
        <w:t xml:space="preserve"> a week.  </w:t>
      </w:r>
    </w:p>
    <w:p w14:paraId="0BFF1D19" w14:textId="0E76FB34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access to the </w:t>
      </w:r>
      <w:r w:rsidR="00984C9A">
        <w:rPr>
          <w:b/>
          <w:bCs/>
          <w:color w:val="BF8F00" w:themeColor="accent4" w:themeShade="BF"/>
        </w:rPr>
        <w:t>Studio 1</w:t>
      </w:r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on-line textbook </w:t>
      </w:r>
      <w:r w:rsidR="00984C9A" w:rsidRPr="00984C9A">
        <w:t>https://pearsonactivelearn.com/</w:t>
      </w:r>
    </w:p>
    <w:p w14:paraId="470676E6" w14:textId="47E40A7E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</w:t>
      </w:r>
      <w:r w:rsidR="00984C9A">
        <w:t xml:space="preserve">rough the vocabulary for that section of the book </w:t>
      </w:r>
      <w:r w:rsidR="00A76737">
        <w:t>(</w:t>
      </w:r>
      <w:r w:rsidR="00A76737" w:rsidRPr="003640F0">
        <w:rPr>
          <w:u w:val="single"/>
        </w:rPr>
        <w:t>found on pag</w:t>
      </w:r>
      <w:r w:rsidR="00613F3C">
        <w:rPr>
          <w:u w:val="single"/>
        </w:rPr>
        <w:t xml:space="preserve">es </w:t>
      </w:r>
      <w:r w:rsidR="007659C6">
        <w:rPr>
          <w:u w:val="single"/>
        </w:rPr>
        <w:t>106-107</w:t>
      </w:r>
      <w:r w:rsidR="00A76737">
        <w:t xml:space="preserve">) </w:t>
      </w:r>
      <w:r w:rsidR="00984C9A">
        <w:t xml:space="preserve">and then work through all of the exercises. </w:t>
      </w:r>
      <w:r w:rsidR="004E6304">
        <w:t xml:space="preserve">Pupils should copy the relevant vocabulary in to their orange books and learn it. </w:t>
      </w: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or Language gym websites.</w:t>
      </w:r>
    </w:p>
    <w:p w14:paraId="5E0C2A26" w14:textId="02D44424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984C9A">
        <w:t>to learn the vocabulary for that section of the chapter.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7AE73B22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72D5A0EF" w:rsidR="003640F0" w:rsidRPr="00D5583B" w:rsidRDefault="003640F0">
            <w:pPr>
              <w:rPr>
                <w:b/>
                <w:bCs/>
              </w:rPr>
            </w:pPr>
            <w:r>
              <w:rPr>
                <w:b/>
                <w:bCs/>
              </w:rPr>
              <w:t>(Studi</w:t>
            </w:r>
            <w:r w:rsidR="00613F3C">
              <w:rPr>
                <w:b/>
                <w:bCs/>
              </w:rPr>
              <w:t>o 1- Chapter 5</w:t>
            </w:r>
            <w:r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77777777" w:rsidR="00EF738D" w:rsidRPr="008F2EB9" w:rsidRDefault="00EF738D" w:rsidP="00EF738D">
            <w:r w:rsidRPr="008F2EB9">
              <w:t>Link to pages in On- line textbook where possible</w:t>
            </w:r>
          </w:p>
          <w:p w14:paraId="58439EC5" w14:textId="43685D81" w:rsidR="00EF738D" w:rsidRPr="00D5583B" w:rsidRDefault="00EF738D" w:rsidP="00EF738D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613F3C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58831304" w14:textId="77777777" w:rsidR="00613F3C" w:rsidRDefault="00613F3C" w:rsidP="00613F3C">
            <w:r>
              <w:t>19</w:t>
            </w:r>
            <w:r w:rsidRPr="00E757A0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42009E67" w14:textId="4BF14738" w:rsidR="00613F3C" w:rsidRDefault="00613F3C" w:rsidP="00613F3C"/>
        </w:tc>
        <w:tc>
          <w:tcPr>
            <w:tcW w:w="4820" w:type="dxa"/>
          </w:tcPr>
          <w:p w14:paraId="105562C3" w14:textId="77777777" w:rsidR="00613F3C" w:rsidRDefault="007659C6" w:rsidP="00613F3C">
            <w:r>
              <w:t xml:space="preserve">Les </w:t>
            </w:r>
            <w:proofErr w:type="spellStart"/>
            <w:r>
              <w:t>vacances</w:t>
            </w:r>
            <w:proofErr w:type="spellEnd"/>
            <w:r>
              <w:t xml:space="preserve">, mode </w:t>
            </w:r>
            <w:proofErr w:type="spellStart"/>
            <w:r>
              <w:t>d’emploi</w:t>
            </w:r>
            <w:proofErr w:type="spellEnd"/>
          </w:p>
          <w:p w14:paraId="41C8F396" w14:textId="4DAEA9FB" w:rsidR="007659C6" w:rsidRDefault="007659C6" w:rsidP="00613F3C">
            <w:r>
              <w:t>Using ‘nous’ to say ‘we’, talking about your holidays.</w:t>
            </w:r>
          </w:p>
        </w:tc>
        <w:tc>
          <w:tcPr>
            <w:tcW w:w="3118" w:type="dxa"/>
          </w:tcPr>
          <w:p w14:paraId="04812680" w14:textId="77777777" w:rsidR="00613F3C" w:rsidRDefault="007659C6" w:rsidP="00613F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P90-91</w:t>
            </w:r>
          </w:p>
          <w:p w14:paraId="25C497C4" w14:textId="7EE398B5" w:rsidR="007659C6" w:rsidRPr="00EF738D" w:rsidRDefault="007659C6" w:rsidP="00613F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through the PowerPoint provided.</w:t>
            </w:r>
          </w:p>
        </w:tc>
      </w:tr>
      <w:tr w:rsidR="00613F3C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77D617C" w14:textId="69AEA0C3" w:rsidR="00613F3C" w:rsidRDefault="00613F3C" w:rsidP="00613F3C">
            <w:r>
              <w:t>26</w:t>
            </w:r>
            <w:r w:rsidRPr="00E757A0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4D383911" w14:textId="02E4DD55" w:rsidR="00613F3C" w:rsidRDefault="00613F3C" w:rsidP="00613F3C"/>
        </w:tc>
        <w:tc>
          <w:tcPr>
            <w:tcW w:w="4820" w:type="dxa"/>
          </w:tcPr>
          <w:p w14:paraId="2774D5D0" w14:textId="2FBC0DEA" w:rsidR="00613F3C" w:rsidRDefault="007659C6" w:rsidP="00613F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Je me prepare</w:t>
            </w:r>
          </w:p>
          <w:p w14:paraId="44EAFD9C" w14:textId="35D85E0D" w:rsidR="007659C6" w:rsidRPr="00EF738D" w:rsidRDefault="007659C6" w:rsidP="00613F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Talking about getting ready to go out, using singular reflexive verbs.</w:t>
            </w:r>
          </w:p>
        </w:tc>
        <w:tc>
          <w:tcPr>
            <w:tcW w:w="3118" w:type="dxa"/>
          </w:tcPr>
          <w:p w14:paraId="42DE7A1E" w14:textId="7E70CF57" w:rsidR="007659C6" w:rsidRDefault="007659C6" w:rsidP="007659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P92-93</w:t>
            </w:r>
          </w:p>
          <w:p w14:paraId="4B94D5A5" w14:textId="06ED79A4" w:rsidR="00613F3C" w:rsidRDefault="007659C6" w:rsidP="00B20AC5">
            <w:r>
              <w:rPr>
                <w:color w:val="000000" w:themeColor="text1"/>
              </w:rPr>
              <w:t xml:space="preserve">Work through the </w:t>
            </w:r>
            <w:r w:rsidR="00B20AC5">
              <w:rPr>
                <w:color w:val="000000" w:themeColor="text1"/>
              </w:rPr>
              <w:t>PowerPoint provided.</w:t>
            </w:r>
          </w:p>
        </w:tc>
      </w:tr>
      <w:tr w:rsidR="00613F3C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011B480" w14:textId="483B5AA3" w:rsidR="00613F3C" w:rsidRDefault="00613F3C" w:rsidP="00613F3C">
            <w:r>
              <w:t>3</w:t>
            </w:r>
            <w:r w:rsidRPr="00E757A0">
              <w:rPr>
                <w:vertAlign w:val="superscript"/>
              </w:rPr>
              <w:t>rd</w:t>
            </w:r>
            <w:r>
              <w:t xml:space="preserve"> May</w:t>
            </w:r>
          </w:p>
          <w:p w14:paraId="45FB0818" w14:textId="01E57870" w:rsidR="00613F3C" w:rsidRDefault="00613F3C" w:rsidP="00613F3C"/>
        </w:tc>
        <w:tc>
          <w:tcPr>
            <w:tcW w:w="4820" w:type="dxa"/>
          </w:tcPr>
          <w:p w14:paraId="50BEC2AB" w14:textId="77777777" w:rsidR="00613F3C" w:rsidRDefault="00B20AC5" w:rsidP="00613F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 caf</w:t>
            </w:r>
            <w:r>
              <w:rPr>
                <w:rFonts w:cstheme="minorHAnsi"/>
                <w:color w:val="000000" w:themeColor="text1"/>
              </w:rPr>
              <w:t>é</w:t>
            </w:r>
            <w:r>
              <w:rPr>
                <w:color w:val="000000" w:themeColor="text1"/>
              </w:rPr>
              <w:t xml:space="preserve"> de la </w:t>
            </w:r>
            <w:proofErr w:type="spellStart"/>
            <w:r>
              <w:rPr>
                <w:color w:val="000000" w:themeColor="text1"/>
              </w:rPr>
              <w:t>plage</w:t>
            </w:r>
            <w:proofErr w:type="spellEnd"/>
          </w:p>
          <w:p w14:paraId="049F31CB" w14:textId="1CF2DB21" w:rsidR="00B20AC5" w:rsidRPr="00EF738D" w:rsidRDefault="00B20AC5" w:rsidP="00613F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Buying drinks and snacks, using higher numbers.</w:t>
            </w:r>
          </w:p>
        </w:tc>
        <w:tc>
          <w:tcPr>
            <w:tcW w:w="3118" w:type="dxa"/>
          </w:tcPr>
          <w:p w14:paraId="0E1A91FC" w14:textId="612435C9" w:rsidR="00B20AC5" w:rsidRDefault="00B20AC5" w:rsidP="00B20A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P94-95</w:t>
            </w:r>
          </w:p>
          <w:p w14:paraId="53128261" w14:textId="2C5F21A0" w:rsidR="00613F3C" w:rsidRDefault="00B20AC5" w:rsidP="00B20AC5">
            <w:r>
              <w:rPr>
                <w:color w:val="000000" w:themeColor="text1"/>
              </w:rPr>
              <w:t>Work through the PowerPoint provided.</w:t>
            </w:r>
          </w:p>
        </w:tc>
      </w:tr>
      <w:tr w:rsidR="00613F3C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2468644" w14:textId="413EEC78" w:rsidR="00613F3C" w:rsidRDefault="00613F3C" w:rsidP="00613F3C">
            <w:r>
              <w:t>10</w:t>
            </w:r>
            <w:r w:rsidRPr="00E757A0">
              <w:rPr>
                <w:vertAlign w:val="superscript"/>
              </w:rPr>
              <w:t>th</w:t>
            </w:r>
            <w:r>
              <w:t xml:space="preserve"> May</w:t>
            </w:r>
          </w:p>
          <w:p w14:paraId="4B99056E" w14:textId="3ABCAA96" w:rsidR="00613F3C" w:rsidRDefault="00613F3C" w:rsidP="00613F3C"/>
        </w:tc>
        <w:tc>
          <w:tcPr>
            <w:tcW w:w="4820" w:type="dxa"/>
          </w:tcPr>
          <w:p w14:paraId="27809CC5" w14:textId="77777777" w:rsidR="00613F3C" w:rsidRDefault="00B20AC5" w:rsidP="00613F3C">
            <w:r>
              <w:t xml:space="preserve">Je </w:t>
            </w:r>
            <w:proofErr w:type="spellStart"/>
            <w:r>
              <w:t>vais</w:t>
            </w:r>
            <w:proofErr w:type="spellEnd"/>
            <w:r>
              <w:t xml:space="preserve"> </w:t>
            </w:r>
            <w:proofErr w:type="spellStart"/>
            <w:r>
              <w:t>aller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colo</w:t>
            </w:r>
            <w:proofErr w:type="spellEnd"/>
          </w:p>
          <w:p w14:paraId="1299C43A" w14:textId="06FFA6B5" w:rsidR="00B20AC5" w:rsidRDefault="00B20AC5" w:rsidP="00613F3C">
            <w:r>
              <w:t>Talking about holiday plans, using the near future tense.</w:t>
            </w:r>
          </w:p>
        </w:tc>
        <w:tc>
          <w:tcPr>
            <w:tcW w:w="3118" w:type="dxa"/>
          </w:tcPr>
          <w:p w14:paraId="20D50819" w14:textId="63CE2924" w:rsidR="00B20AC5" w:rsidRDefault="00B20AC5" w:rsidP="00B20A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P96-97</w:t>
            </w:r>
          </w:p>
          <w:p w14:paraId="4DDBEF00" w14:textId="27A4710A" w:rsidR="00613F3C" w:rsidRDefault="00B20AC5" w:rsidP="00B20AC5">
            <w:r>
              <w:rPr>
                <w:color w:val="000000" w:themeColor="text1"/>
              </w:rPr>
              <w:t>Work through the PowerPoint provided.</w:t>
            </w:r>
          </w:p>
        </w:tc>
      </w:tr>
      <w:tr w:rsidR="00613F3C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0699AA89" w14:textId="0C0AF1EF" w:rsidR="00613F3C" w:rsidRDefault="00613F3C" w:rsidP="00613F3C">
            <w:r>
              <w:t>17</w:t>
            </w:r>
            <w:r w:rsidRPr="00E757A0">
              <w:rPr>
                <w:vertAlign w:val="superscript"/>
              </w:rPr>
              <w:t>th</w:t>
            </w:r>
            <w:r>
              <w:t xml:space="preserve"> May</w:t>
            </w:r>
          </w:p>
          <w:p w14:paraId="0FB78278" w14:textId="6F426389" w:rsidR="00613F3C" w:rsidRDefault="00613F3C" w:rsidP="00613F3C"/>
        </w:tc>
        <w:tc>
          <w:tcPr>
            <w:tcW w:w="4820" w:type="dxa"/>
          </w:tcPr>
          <w:p w14:paraId="62678B93" w14:textId="77777777" w:rsidR="00613F3C" w:rsidRDefault="00B20AC5" w:rsidP="00613F3C">
            <w:proofErr w:type="spellStart"/>
            <w:r>
              <w:t>Mes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>
              <w:rPr>
                <w:rFonts w:cstheme="minorHAnsi"/>
              </w:rPr>
              <w:t>ê</w:t>
            </w:r>
            <w:r>
              <w:t>ves</w:t>
            </w:r>
            <w:proofErr w:type="spellEnd"/>
          </w:p>
          <w:p w14:paraId="1FC39945" w14:textId="5D864AEB" w:rsidR="00B20AC5" w:rsidRDefault="00B20AC5" w:rsidP="00613F3C">
            <w:r>
              <w:t xml:space="preserve">Saying what you would like to do, using ‘je </w:t>
            </w:r>
            <w:proofErr w:type="spellStart"/>
            <w:r>
              <w:t>voudrais</w:t>
            </w:r>
            <w:proofErr w:type="spellEnd"/>
            <w:r>
              <w:t>’ + infinitive.</w:t>
            </w:r>
          </w:p>
        </w:tc>
        <w:tc>
          <w:tcPr>
            <w:tcW w:w="3118" w:type="dxa"/>
          </w:tcPr>
          <w:p w14:paraId="2D9889AA" w14:textId="45C82377" w:rsidR="00B20AC5" w:rsidRDefault="00B20AC5" w:rsidP="00B20A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P98</w:t>
            </w:r>
            <w:bookmarkStart w:id="0" w:name="_GoBack"/>
            <w:bookmarkEnd w:id="0"/>
            <w:r>
              <w:rPr>
                <w:color w:val="000000" w:themeColor="text1"/>
              </w:rPr>
              <w:t>-99</w:t>
            </w:r>
          </w:p>
          <w:p w14:paraId="0562CB0E" w14:textId="4FE61A65" w:rsidR="00613F3C" w:rsidRDefault="00B20AC5" w:rsidP="00B20AC5">
            <w:r>
              <w:rPr>
                <w:color w:val="000000" w:themeColor="text1"/>
              </w:rPr>
              <w:t>Work through the PowerPoint provided.</w:t>
            </w:r>
          </w:p>
        </w:tc>
      </w:tr>
      <w:tr w:rsidR="00B20AC5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502FF65A" w14:textId="39627D04" w:rsidR="00B20AC5" w:rsidRDefault="00B20AC5" w:rsidP="00B20AC5">
            <w:r>
              <w:t>24</w:t>
            </w:r>
            <w:r w:rsidRPr="00E757A0">
              <w:rPr>
                <w:vertAlign w:val="superscript"/>
              </w:rPr>
              <w:t>th</w:t>
            </w:r>
            <w:r>
              <w:t xml:space="preserve"> May</w:t>
            </w:r>
          </w:p>
          <w:p w14:paraId="6D98A12B" w14:textId="27A8AF1E" w:rsidR="00B20AC5" w:rsidRDefault="00B20AC5" w:rsidP="00B20AC5"/>
        </w:tc>
        <w:tc>
          <w:tcPr>
            <w:tcW w:w="4820" w:type="dxa"/>
          </w:tcPr>
          <w:p w14:paraId="2946DB82" w14:textId="52C3141F" w:rsidR="00B20AC5" w:rsidRPr="00A54DBF" w:rsidRDefault="00B20AC5" w:rsidP="00B20A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Assessment week</w:t>
            </w:r>
          </w:p>
        </w:tc>
        <w:tc>
          <w:tcPr>
            <w:tcW w:w="3118" w:type="dxa"/>
          </w:tcPr>
          <w:p w14:paraId="20E7D755" w14:textId="77777777" w:rsidR="00B20AC5" w:rsidRDefault="00B20AC5" w:rsidP="00B20AC5">
            <w:r>
              <w:t>Contact Mrs Millar for the assessment materials.</w:t>
            </w:r>
          </w:p>
          <w:p w14:paraId="5997CC1D" w14:textId="164AC52A" w:rsidR="00B20AC5" w:rsidRDefault="00B20AC5" w:rsidP="00B20AC5"/>
        </w:tc>
      </w:tr>
    </w:tbl>
    <w:p w14:paraId="6B699379" w14:textId="74BA7081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2282F"/>
    <w:rsid w:val="00087ABC"/>
    <w:rsid w:val="0009390D"/>
    <w:rsid w:val="00094C15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96854"/>
    <w:rsid w:val="001A6B4B"/>
    <w:rsid w:val="001A7CFE"/>
    <w:rsid w:val="001B18BD"/>
    <w:rsid w:val="001D50FE"/>
    <w:rsid w:val="00227A58"/>
    <w:rsid w:val="0025772F"/>
    <w:rsid w:val="002D5C9D"/>
    <w:rsid w:val="003219D3"/>
    <w:rsid w:val="00326ABB"/>
    <w:rsid w:val="00335704"/>
    <w:rsid w:val="00335A2B"/>
    <w:rsid w:val="00336E56"/>
    <w:rsid w:val="003640F0"/>
    <w:rsid w:val="00367788"/>
    <w:rsid w:val="003C03F3"/>
    <w:rsid w:val="003E73F2"/>
    <w:rsid w:val="00432278"/>
    <w:rsid w:val="0045451B"/>
    <w:rsid w:val="004A4C21"/>
    <w:rsid w:val="004E6304"/>
    <w:rsid w:val="004F1639"/>
    <w:rsid w:val="005300A2"/>
    <w:rsid w:val="0053787A"/>
    <w:rsid w:val="00547AC3"/>
    <w:rsid w:val="00585106"/>
    <w:rsid w:val="00585B0E"/>
    <w:rsid w:val="005F64D0"/>
    <w:rsid w:val="00613305"/>
    <w:rsid w:val="00613F3C"/>
    <w:rsid w:val="00615F5C"/>
    <w:rsid w:val="00636821"/>
    <w:rsid w:val="006D41D7"/>
    <w:rsid w:val="0070113E"/>
    <w:rsid w:val="00722BA9"/>
    <w:rsid w:val="00754BBB"/>
    <w:rsid w:val="00757E7B"/>
    <w:rsid w:val="007659C6"/>
    <w:rsid w:val="00767BA0"/>
    <w:rsid w:val="007D4C16"/>
    <w:rsid w:val="007F71DF"/>
    <w:rsid w:val="008159C4"/>
    <w:rsid w:val="0083252E"/>
    <w:rsid w:val="00871B5A"/>
    <w:rsid w:val="0089684E"/>
    <w:rsid w:val="008C3B69"/>
    <w:rsid w:val="008C606F"/>
    <w:rsid w:val="00905832"/>
    <w:rsid w:val="00922EF9"/>
    <w:rsid w:val="00926620"/>
    <w:rsid w:val="00967A1C"/>
    <w:rsid w:val="00967F53"/>
    <w:rsid w:val="00984C9A"/>
    <w:rsid w:val="009A7C47"/>
    <w:rsid w:val="009D33FE"/>
    <w:rsid w:val="009F7502"/>
    <w:rsid w:val="00A01A3E"/>
    <w:rsid w:val="00A40EC2"/>
    <w:rsid w:val="00A54DBF"/>
    <w:rsid w:val="00A763E0"/>
    <w:rsid w:val="00A76737"/>
    <w:rsid w:val="00A907D4"/>
    <w:rsid w:val="00AD7615"/>
    <w:rsid w:val="00B20AC5"/>
    <w:rsid w:val="00B361C4"/>
    <w:rsid w:val="00B40202"/>
    <w:rsid w:val="00B62A17"/>
    <w:rsid w:val="00B906FD"/>
    <w:rsid w:val="00B95003"/>
    <w:rsid w:val="00BA0DB3"/>
    <w:rsid w:val="00BB41E5"/>
    <w:rsid w:val="00BE4DED"/>
    <w:rsid w:val="00C25959"/>
    <w:rsid w:val="00C25E1B"/>
    <w:rsid w:val="00C34086"/>
    <w:rsid w:val="00C55220"/>
    <w:rsid w:val="00C62636"/>
    <w:rsid w:val="00C74D8E"/>
    <w:rsid w:val="00C9301E"/>
    <w:rsid w:val="00C95598"/>
    <w:rsid w:val="00CC3BD6"/>
    <w:rsid w:val="00CC3D7D"/>
    <w:rsid w:val="00CD6729"/>
    <w:rsid w:val="00CD6DB0"/>
    <w:rsid w:val="00CE26B9"/>
    <w:rsid w:val="00D05CDE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E7D5C"/>
    <w:rsid w:val="00DF161F"/>
    <w:rsid w:val="00DF389E"/>
    <w:rsid w:val="00E4740A"/>
    <w:rsid w:val="00E500DF"/>
    <w:rsid w:val="00E541B8"/>
    <w:rsid w:val="00EA7035"/>
    <w:rsid w:val="00EB6C32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3E95"/>
    <w:rsid w:val="00F945B6"/>
    <w:rsid w:val="00FA1E8D"/>
    <w:rsid w:val="00FC7FE1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Jackie Millar</cp:lastModifiedBy>
  <cp:revision>18</cp:revision>
  <dcterms:created xsi:type="dcterms:W3CDTF">2020-09-03T19:07:00Z</dcterms:created>
  <dcterms:modified xsi:type="dcterms:W3CDTF">2021-03-29T16:03:00Z</dcterms:modified>
</cp:coreProperties>
</file>