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46814FD1"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 xml:space="preserve">TERM </w:t>
      </w:r>
      <w:r w:rsidR="006C322A">
        <w:rPr>
          <w:b/>
          <w:bCs/>
          <w:color w:val="0070C0"/>
          <w:sz w:val="40"/>
          <w:szCs w:val="40"/>
        </w:rPr>
        <w:t>6</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biology,  3 lessons of Chemistry and 3 lessons of physics </w:t>
      </w:r>
    </w:p>
    <w:p w14:paraId="6E0D3887" w14:textId="77777777" w:rsidR="00891803" w:rsidRDefault="00891803" w:rsidP="00891803">
      <w:pPr>
        <w:pStyle w:val="ListParagraph"/>
        <w:numPr>
          <w:ilvl w:val="0"/>
          <w:numId w:val="5"/>
        </w:numPr>
      </w:pPr>
      <w:r>
        <w:t xml:space="preserve">Pupils have access to the </w:t>
      </w:r>
      <w:r>
        <w:rPr>
          <w:b/>
          <w:bCs/>
          <w:color w:val="538135" w:themeColor="accent6" w:themeShade="BF"/>
        </w:rPr>
        <w:t xml:space="preserve">Kerboodle  </w:t>
      </w:r>
      <w:r>
        <w:t xml:space="preserve">on-line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in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tbl>
      <w:tblPr>
        <w:tblStyle w:val="TableGrid"/>
        <w:tblW w:w="14601" w:type="dxa"/>
        <w:tblInd w:w="-289" w:type="dxa"/>
        <w:tblLook w:val="04A0" w:firstRow="1" w:lastRow="0" w:firstColumn="1" w:lastColumn="0" w:noHBand="0" w:noVBand="1"/>
      </w:tblPr>
      <w:tblGrid>
        <w:gridCol w:w="1205"/>
        <w:gridCol w:w="5156"/>
        <w:gridCol w:w="4615"/>
        <w:gridCol w:w="3625"/>
      </w:tblGrid>
      <w:tr w:rsidR="00C03803" w14:paraId="76BECF05" w14:textId="6F7F05DB" w:rsidTr="00801234">
        <w:tc>
          <w:tcPr>
            <w:tcW w:w="1206" w:type="dxa"/>
            <w:shd w:val="clear" w:color="auto" w:fill="D9D9D9" w:themeFill="background1" w:themeFillShade="D9"/>
          </w:tcPr>
          <w:p w14:paraId="29D6B04F" w14:textId="4C5AD7E9" w:rsidR="00C03803" w:rsidRPr="00605EE8" w:rsidRDefault="00C03803" w:rsidP="00605EE8">
            <w:pPr>
              <w:rPr>
                <w:b/>
                <w:bCs/>
                <w:sz w:val="36"/>
                <w:szCs w:val="36"/>
              </w:rPr>
            </w:pPr>
            <w:r w:rsidRPr="00605EE8">
              <w:rPr>
                <w:b/>
                <w:bCs/>
                <w:sz w:val="36"/>
                <w:szCs w:val="36"/>
              </w:rPr>
              <w:t xml:space="preserve">Term </w:t>
            </w:r>
            <w:r w:rsidR="006C322A">
              <w:rPr>
                <w:b/>
                <w:bCs/>
                <w:sz w:val="36"/>
                <w:szCs w:val="36"/>
              </w:rPr>
              <w:t>6</w:t>
            </w:r>
          </w:p>
        </w:tc>
        <w:tc>
          <w:tcPr>
            <w:tcW w:w="515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9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3641"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801234">
        <w:tc>
          <w:tcPr>
            <w:tcW w:w="1206" w:type="dxa"/>
            <w:shd w:val="clear" w:color="auto" w:fill="D9D9D9" w:themeFill="background1" w:themeFillShade="D9"/>
          </w:tcPr>
          <w:p w14:paraId="42009E67" w14:textId="6A085C7B" w:rsidR="00C03803" w:rsidRDefault="00C03803"/>
        </w:tc>
        <w:tc>
          <w:tcPr>
            <w:tcW w:w="5156" w:type="dxa"/>
          </w:tcPr>
          <w:p w14:paraId="0B4F0E50" w14:textId="5C0194AA" w:rsidR="00F55511" w:rsidRPr="006C322A" w:rsidRDefault="000D76CF" w:rsidP="00FD6811">
            <w:pPr>
              <w:rPr>
                <w:b/>
                <w:bCs/>
                <w:sz w:val="20"/>
                <w:szCs w:val="20"/>
              </w:rPr>
            </w:pPr>
            <w:r>
              <w:rPr>
                <w:b/>
                <w:bCs/>
                <w:sz w:val="20"/>
                <w:szCs w:val="20"/>
              </w:rPr>
              <w:t xml:space="preserve">Teaching will continue </w:t>
            </w:r>
            <w:r w:rsidR="006C322A">
              <w:rPr>
                <w:b/>
                <w:bCs/>
                <w:sz w:val="20"/>
                <w:szCs w:val="20"/>
              </w:rPr>
              <w:t>to finish B9</w:t>
            </w:r>
            <w:r w:rsidR="004F093B">
              <w:rPr>
                <w:b/>
                <w:bCs/>
                <w:sz w:val="20"/>
                <w:szCs w:val="20"/>
              </w:rPr>
              <w:t xml:space="preserve"> if required</w:t>
            </w:r>
            <w:r>
              <w:rPr>
                <w:b/>
                <w:bCs/>
                <w:sz w:val="20"/>
                <w:szCs w:val="20"/>
              </w:rPr>
              <w:t xml:space="preserve"> : </w:t>
            </w:r>
          </w:p>
          <w:p w14:paraId="593A935B" w14:textId="595D87B7" w:rsidR="0008174C" w:rsidRPr="00247394" w:rsidRDefault="0008174C" w:rsidP="00FD6811">
            <w:pPr>
              <w:rPr>
                <w:color w:val="000000" w:themeColor="text1"/>
                <w:sz w:val="20"/>
                <w:szCs w:val="20"/>
              </w:rPr>
            </w:pPr>
            <w:r w:rsidRPr="00247394">
              <w:rPr>
                <w:color w:val="000000" w:themeColor="text1"/>
                <w:sz w:val="20"/>
                <w:szCs w:val="20"/>
              </w:rPr>
              <w:t>B9.3 Anaerobic respiration</w:t>
            </w:r>
          </w:p>
          <w:p w14:paraId="73994D4E" w14:textId="4EA6E7B2" w:rsidR="0008174C" w:rsidRPr="00247394" w:rsidRDefault="0008174C" w:rsidP="00FD6811">
            <w:pPr>
              <w:rPr>
                <w:color w:val="000000" w:themeColor="text1"/>
                <w:sz w:val="20"/>
                <w:szCs w:val="20"/>
              </w:rPr>
            </w:pPr>
            <w:r w:rsidRPr="00247394">
              <w:rPr>
                <w:color w:val="000000" w:themeColor="text1"/>
                <w:sz w:val="20"/>
                <w:szCs w:val="20"/>
              </w:rPr>
              <w:t xml:space="preserve">B9.4 Metabolism and the liver </w:t>
            </w:r>
          </w:p>
          <w:p w14:paraId="4435EDDD" w14:textId="05649214" w:rsidR="008504CE" w:rsidRPr="004F093B" w:rsidRDefault="0008174C" w:rsidP="0008174C">
            <w:pPr>
              <w:rPr>
                <w:color w:val="000000" w:themeColor="text1"/>
                <w:sz w:val="20"/>
                <w:szCs w:val="20"/>
              </w:rPr>
            </w:pPr>
            <w:r w:rsidRPr="00247394">
              <w:rPr>
                <w:color w:val="000000" w:themeColor="text1"/>
                <w:sz w:val="20"/>
                <w:szCs w:val="20"/>
              </w:rPr>
              <w:t xml:space="preserve">B9 End of unit assessment </w:t>
            </w:r>
          </w:p>
          <w:p w14:paraId="00EA3306" w14:textId="6025BD6C" w:rsidR="008504CE" w:rsidRPr="004F093B" w:rsidRDefault="008504CE" w:rsidP="0008174C">
            <w:pPr>
              <w:rPr>
                <w:b/>
                <w:bCs/>
                <w:color w:val="00B050"/>
                <w:sz w:val="20"/>
                <w:szCs w:val="20"/>
              </w:rPr>
            </w:pPr>
            <w:r w:rsidRPr="00247394">
              <w:rPr>
                <w:b/>
                <w:bCs/>
                <w:color w:val="00B050"/>
                <w:sz w:val="20"/>
                <w:szCs w:val="20"/>
              </w:rPr>
              <w:t xml:space="preserve">On-line ‘Oak Academy’ lessons on these units can be found here: </w:t>
            </w:r>
          </w:p>
          <w:p w14:paraId="39BC06DC" w14:textId="77777777" w:rsidR="008504CE" w:rsidRPr="00247394" w:rsidRDefault="002A123B" w:rsidP="0008174C">
            <w:pPr>
              <w:rPr>
                <w:color w:val="FF0000"/>
                <w:sz w:val="20"/>
                <w:szCs w:val="20"/>
              </w:rPr>
            </w:pPr>
            <w:hyperlink r:id="rId8" w:history="1">
              <w:r w:rsidR="008504CE" w:rsidRPr="00247394">
                <w:rPr>
                  <w:rStyle w:val="Hyperlink"/>
                  <w:sz w:val="20"/>
                  <w:szCs w:val="20"/>
                </w:rPr>
                <w:t>https://classroom.thenational.academy/units/bioenergetics-244e</w:t>
              </w:r>
            </w:hyperlink>
          </w:p>
          <w:p w14:paraId="65769DEF" w14:textId="77777777" w:rsidR="00680A4B" w:rsidRPr="00247394" w:rsidRDefault="00680A4B" w:rsidP="0008174C">
            <w:pPr>
              <w:rPr>
                <w:color w:val="FF0000"/>
                <w:sz w:val="20"/>
                <w:szCs w:val="20"/>
              </w:rPr>
            </w:pPr>
          </w:p>
          <w:p w14:paraId="08213C1E" w14:textId="3171A954" w:rsidR="00680A4B" w:rsidRPr="00247394" w:rsidRDefault="00680A4B" w:rsidP="0008174C">
            <w:pPr>
              <w:rPr>
                <w:color w:val="FF0000"/>
                <w:sz w:val="20"/>
                <w:szCs w:val="20"/>
              </w:rPr>
            </w:pPr>
            <w:r w:rsidRPr="00247394">
              <w:rPr>
                <w:color w:val="FF0000"/>
                <w:sz w:val="20"/>
                <w:szCs w:val="20"/>
              </w:rPr>
              <w:t xml:space="preserve">We </w:t>
            </w:r>
            <w:r w:rsidR="002A5A34">
              <w:rPr>
                <w:color w:val="FF0000"/>
                <w:sz w:val="20"/>
                <w:szCs w:val="20"/>
              </w:rPr>
              <w:t xml:space="preserve">will </w:t>
            </w:r>
            <w:r w:rsidRPr="00247394">
              <w:rPr>
                <w:color w:val="FF0000"/>
                <w:sz w:val="20"/>
                <w:szCs w:val="20"/>
              </w:rPr>
              <w:t xml:space="preserve">then start the paper 2 units </w:t>
            </w:r>
          </w:p>
          <w:p w14:paraId="2F891641" w14:textId="7780B29B" w:rsidR="00680A4B" w:rsidRDefault="00680A4B" w:rsidP="0008174C">
            <w:pPr>
              <w:rPr>
                <w:b/>
                <w:bCs/>
                <w:color w:val="000000" w:themeColor="text1"/>
                <w:sz w:val="20"/>
                <w:szCs w:val="20"/>
              </w:rPr>
            </w:pPr>
            <w:r w:rsidRPr="00247394">
              <w:rPr>
                <w:b/>
                <w:bCs/>
                <w:color w:val="000000" w:themeColor="text1"/>
                <w:sz w:val="20"/>
                <w:szCs w:val="20"/>
              </w:rPr>
              <w:t xml:space="preserve">B10 </w:t>
            </w:r>
            <w:r w:rsidR="00627E40" w:rsidRPr="00247394">
              <w:rPr>
                <w:b/>
                <w:bCs/>
                <w:color w:val="000000" w:themeColor="text1"/>
                <w:sz w:val="20"/>
                <w:szCs w:val="20"/>
              </w:rPr>
              <w:t xml:space="preserve">The human Nervous system </w:t>
            </w:r>
          </w:p>
          <w:p w14:paraId="5CE5D09B" w14:textId="4F217BC9" w:rsidR="006C322A" w:rsidRPr="00247394" w:rsidRDefault="006C322A" w:rsidP="0008174C">
            <w:pPr>
              <w:rPr>
                <w:b/>
                <w:bCs/>
                <w:color w:val="000000" w:themeColor="text1"/>
                <w:sz w:val="20"/>
                <w:szCs w:val="20"/>
              </w:rPr>
            </w:pPr>
            <w:r>
              <w:rPr>
                <w:b/>
                <w:bCs/>
                <w:color w:val="000000" w:themeColor="text1"/>
                <w:sz w:val="20"/>
                <w:szCs w:val="20"/>
              </w:rPr>
              <w:t xml:space="preserve">Contact your teacher for further information via email. </w:t>
            </w:r>
          </w:p>
          <w:p w14:paraId="41C8F396" w14:textId="6D674524" w:rsidR="00680A4B" w:rsidRPr="00247394" w:rsidRDefault="00680A4B" w:rsidP="0008174C">
            <w:pPr>
              <w:rPr>
                <w:color w:val="FF0000"/>
                <w:sz w:val="20"/>
                <w:szCs w:val="20"/>
              </w:rPr>
            </w:pPr>
          </w:p>
        </w:tc>
        <w:tc>
          <w:tcPr>
            <w:tcW w:w="4598" w:type="dxa"/>
          </w:tcPr>
          <w:p w14:paraId="1C47F3A3" w14:textId="6D5F381B" w:rsidR="000A4AC1" w:rsidRPr="006C322A" w:rsidRDefault="000D76CF" w:rsidP="00605EE8">
            <w:pPr>
              <w:rPr>
                <w:b/>
                <w:bCs/>
                <w:sz w:val="20"/>
                <w:szCs w:val="20"/>
              </w:rPr>
            </w:pPr>
            <w:r w:rsidRPr="000D76CF">
              <w:rPr>
                <w:b/>
                <w:bCs/>
                <w:sz w:val="20"/>
                <w:szCs w:val="20"/>
              </w:rPr>
              <w:t xml:space="preserve">Teaching will continue </w:t>
            </w:r>
            <w:r w:rsidR="006C322A">
              <w:rPr>
                <w:b/>
                <w:bCs/>
                <w:sz w:val="20"/>
                <w:szCs w:val="20"/>
              </w:rPr>
              <w:t>to finish C7</w:t>
            </w:r>
            <w:r w:rsidRPr="000D76CF">
              <w:rPr>
                <w:b/>
                <w:bCs/>
                <w:sz w:val="20"/>
                <w:szCs w:val="20"/>
              </w:rPr>
              <w:t xml:space="preserve"> </w:t>
            </w:r>
            <w:r w:rsidR="004F093B">
              <w:rPr>
                <w:b/>
                <w:bCs/>
                <w:sz w:val="20"/>
                <w:szCs w:val="20"/>
              </w:rPr>
              <w:t xml:space="preserve"> if required</w:t>
            </w:r>
            <w:r w:rsidRPr="000D76CF">
              <w:rPr>
                <w:b/>
                <w:bCs/>
                <w:sz w:val="20"/>
                <w:szCs w:val="20"/>
              </w:rPr>
              <w:t xml:space="preserve">: </w:t>
            </w:r>
          </w:p>
          <w:p w14:paraId="43410418" w14:textId="3138E365" w:rsidR="000A4AC1" w:rsidRPr="000D76CF" w:rsidRDefault="000A4AC1" w:rsidP="00605EE8">
            <w:pPr>
              <w:rPr>
                <w:sz w:val="20"/>
                <w:szCs w:val="20"/>
              </w:rPr>
            </w:pPr>
            <w:r w:rsidRPr="000D76CF">
              <w:rPr>
                <w:sz w:val="20"/>
                <w:szCs w:val="20"/>
              </w:rPr>
              <w:t xml:space="preserve">C7.5 Chemical cells and batteries </w:t>
            </w:r>
          </w:p>
          <w:p w14:paraId="69D9EC49" w14:textId="71B2F277" w:rsidR="00F93E9A" w:rsidRDefault="000A4AC1" w:rsidP="00605EE8">
            <w:pPr>
              <w:rPr>
                <w:sz w:val="20"/>
                <w:szCs w:val="20"/>
              </w:rPr>
            </w:pPr>
            <w:r w:rsidRPr="000D76CF">
              <w:rPr>
                <w:sz w:val="20"/>
                <w:szCs w:val="20"/>
              </w:rPr>
              <w:t xml:space="preserve">C7.6 Fuel cells </w:t>
            </w:r>
          </w:p>
          <w:p w14:paraId="63BF6F35" w14:textId="15A0EDC3" w:rsidR="0067768F" w:rsidRPr="004F093B" w:rsidRDefault="000D76CF" w:rsidP="00605EE8">
            <w:pPr>
              <w:rPr>
                <w:sz w:val="20"/>
                <w:szCs w:val="20"/>
              </w:rPr>
            </w:pPr>
            <w:r>
              <w:rPr>
                <w:sz w:val="20"/>
                <w:szCs w:val="20"/>
              </w:rPr>
              <w:t>C7 End of unit assessmen</w:t>
            </w:r>
            <w:r w:rsidR="005F3C8B">
              <w:rPr>
                <w:sz w:val="20"/>
                <w:szCs w:val="20"/>
              </w:rPr>
              <w:t>t</w:t>
            </w:r>
          </w:p>
          <w:p w14:paraId="3D2FC84A" w14:textId="708A440F" w:rsidR="005D3A19" w:rsidRPr="004F093B" w:rsidRDefault="0067768F" w:rsidP="00605EE8">
            <w:pPr>
              <w:rPr>
                <w:b/>
                <w:bCs/>
                <w:color w:val="00B050"/>
                <w:sz w:val="20"/>
                <w:szCs w:val="20"/>
              </w:rPr>
            </w:pPr>
            <w:r w:rsidRPr="000D76CF">
              <w:rPr>
                <w:b/>
                <w:bCs/>
                <w:color w:val="00B050"/>
                <w:sz w:val="20"/>
                <w:szCs w:val="20"/>
              </w:rPr>
              <w:t>On-line ‘Oak Academy’ lessons on th</w:t>
            </w:r>
            <w:r w:rsidR="00D251F9" w:rsidRPr="000D76CF">
              <w:rPr>
                <w:b/>
                <w:bCs/>
                <w:color w:val="00B050"/>
                <w:sz w:val="20"/>
                <w:szCs w:val="20"/>
              </w:rPr>
              <w:t>is</w:t>
            </w:r>
            <w:r w:rsidRPr="000D76CF">
              <w:rPr>
                <w:b/>
                <w:bCs/>
                <w:color w:val="00B050"/>
                <w:sz w:val="20"/>
                <w:szCs w:val="20"/>
              </w:rPr>
              <w:t xml:space="preserve"> unit can be found here: </w:t>
            </w:r>
          </w:p>
          <w:p w14:paraId="5F95DF6D" w14:textId="5442B4B7" w:rsidR="00D76D9A" w:rsidRPr="000D76CF" w:rsidRDefault="002A123B" w:rsidP="00605EE8">
            <w:pPr>
              <w:rPr>
                <w:color w:val="FF0000"/>
                <w:sz w:val="20"/>
                <w:szCs w:val="20"/>
              </w:rPr>
            </w:pPr>
            <w:hyperlink r:id="rId9" w:history="1">
              <w:r w:rsidR="00D251F9" w:rsidRPr="000D76CF">
                <w:rPr>
                  <w:rStyle w:val="Hyperlink"/>
                  <w:sz w:val="20"/>
                  <w:szCs w:val="20"/>
                </w:rPr>
                <w:t>https://classroom.thenational.academy/units/energy-changes-b607</w:t>
              </w:r>
            </w:hyperlink>
          </w:p>
          <w:p w14:paraId="4C6486FA" w14:textId="479B0A0C" w:rsidR="00030A8F" w:rsidRPr="000D76CF" w:rsidRDefault="00030A8F" w:rsidP="00605EE8">
            <w:pPr>
              <w:rPr>
                <w:color w:val="FF0000"/>
                <w:sz w:val="20"/>
                <w:szCs w:val="20"/>
              </w:rPr>
            </w:pPr>
          </w:p>
          <w:p w14:paraId="2C9CBA7B" w14:textId="77777777" w:rsidR="004F093B" w:rsidRPr="00247394" w:rsidRDefault="004F093B" w:rsidP="004F093B">
            <w:pPr>
              <w:rPr>
                <w:color w:val="FF0000"/>
                <w:sz w:val="20"/>
                <w:szCs w:val="20"/>
              </w:rPr>
            </w:pPr>
            <w:r w:rsidRPr="00247394">
              <w:rPr>
                <w:color w:val="FF0000"/>
                <w:sz w:val="20"/>
                <w:szCs w:val="20"/>
              </w:rPr>
              <w:t xml:space="preserve">We </w:t>
            </w:r>
            <w:r>
              <w:rPr>
                <w:color w:val="FF0000"/>
                <w:sz w:val="20"/>
                <w:szCs w:val="20"/>
              </w:rPr>
              <w:t xml:space="preserve">will </w:t>
            </w:r>
            <w:r w:rsidRPr="00247394">
              <w:rPr>
                <w:color w:val="FF0000"/>
                <w:sz w:val="20"/>
                <w:szCs w:val="20"/>
              </w:rPr>
              <w:t xml:space="preserve">then start the paper 2 units </w:t>
            </w:r>
          </w:p>
          <w:p w14:paraId="13AADBA6" w14:textId="48B909BC" w:rsidR="004F093B" w:rsidRDefault="004F093B" w:rsidP="004F093B">
            <w:pPr>
              <w:rPr>
                <w:b/>
                <w:bCs/>
                <w:color w:val="000000" w:themeColor="text1"/>
                <w:sz w:val="20"/>
                <w:szCs w:val="20"/>
              </w:rPr>
            </w:pPr>
            <w:r>
              <w:rPr>
                <w:b/>
                <w:bCs/>
                <w:color w:val="000000" w:themeColor="text1"/>
                <w:sz w:val="20"/>
                <w:szCs w:val="20"/>
              </w:rPr>
              <w:t xml:space="preserve">C8 Rates of Reaction </w:t>
            </w:r>
          </w:p>
          <w:p w14:paraId="2887491B" w14:textId="228EBED0" w:rsidR="00627E40" w:rsidRPr="004F093B" w:rsidRDefault="004F093B" w:rsidP="00605EE8">
            <w:pPr>
              <w:rPr>
                <w:b/>
                <w:bCs/>
                <w:color w:val="000000" w:themeColor="text1"/>
                <w:sz w:val="20"/>
                <w:szCs w:val="20"/>
              </w:rPr>
            </w:pPr>
            <w:r>
              <w:rPr>
                <w:b/>
                <w:bCs/>
                <w:color w:val="000000" w:themeColor="text1"/>
                <w:sz w:val="20"/>
                <w:szCs w:val="20"/>
              </w:rPr>
              <w:t>Contact your teacher for further information via email.</w:t>
            </w:r>
          </w:p>
        </w:tc>
        <w:tc>
          <w:tcPr>
            <w:tcW w:w="3641" w:type="dxa"/>
          </w:tcPr>
          <w:p w14:paraId="2FDF790D" w14:textId="6FDCAC13" w:rsidR="00F93E9A" w:rsidRPr="004F093B" w:rsidRDefault="004D2F7F" w:rsidP="00961BFF">
            <w:pPr>
              <w:rPr>
                <w:b/>
                <w:bCs/>
                <w:color w:val="FF0000"/>
                <w:sz w:val="20"/>
                <w:szCs w:val="20"/>
              </w:rPr>
            </w:pPr>
            <w:r w:rsidRPr="00680A4B">
              <w:rPr>
                <w:b/>
                <w:bCs/>
                <w:color w:val="FF0000"/>
                <w:sz w:val="20"/>
                <w:szCs w:val="20"/>
              </w:rPr>
              <w:t xml:space="preserve">You will </w:t>
            </w:r>
            <w:r w:rsidR="006C322A">
              <w:rPr>
                <w:b/>
                <w:bCs/>
                <w:color w:val="FF0000"/>
                <w:sz w:val="20"/>
                <w:szCs w:val="20"/>
              </w:rPr>
              <w:t>go through the</w:t>
            </w:r>
            <w:r w:rsidR="004F093B">
              <w:rPr>
                <w:b/>
                <w:bCs/>
                <w:color w:val="FF0000"/>
                <w:sz w:val="20"/>
                <w:szCs w:val="20"/>
              </w:rPr>
              <w:t xml:space="preserve"> </w:t>
            </w:r>
            <w:r w:rsidRPr="00680A4B">
              <w:rPr>
                <w:b/>
                <w:bCs/>
                <w:color w:val="FF0000"/>
                <w:sz w:val="20"/>
                <w:szCs w:val="20"/>
              </w:rPr>
              <w:t xml:space="preserve"> Paper 1 mock </w:t>
            </w:r>
            <w:r w:rsidR="004F093B">
              <w:rPr>
                <w:b/>
                <w:bCs/>
                <w:color w:val="FF0000"/>
                <w:sz w:val="20"/>
                <w:szCs w:val="20"/>
              </w:rPr>
              <w:t xml:space="preserve">completed </w:t>
            </w:r>
            <w:r w:rsidR="002E43E3">
              <w:rPr>
                <w:b/>
                <w:bCs/>
                <w:color w:val="FF0000"/>
                <w:sz w:val="20"/>
                <w:szCs w:val="20"/>
              </w:rPr>
              <w:t xml:space="preserve">at the end of </w:t>
            </w:r>
            <w:r w:rsidR="004F093B">
              <w:rPr>
                <w:b/>
                <w:bCs/>
                <w:color w:val="FF0000"/>
                <w:sz w:val="20"/>
                <w:szCs w:val="20"/>
              </w:rPr>
              <w:t xml:space="preserve">last term </w:t>
            </w:r>
          </w:p>
          <w:p w14:paraId="665266F8" w14:textId="77777777" w:rsidR="00FB5A52" w:rsidRDefault="00FB5A52" w:rsidP="00F93E9A">
            <w:pPr>
              <w:rPr>
                <w:sz w:val="20"/>
                <w:szCs w:val="20"/>
              </w:rPr>
            </w:pPr>
          </w:p>
          <w:p w14:paraId="0D514EE0" w14:textId="18A660CA" w:rsidR="00680A4B" w:rsidRDefault="00680A4B" w:rsidP="00680A4B">
            <w:pPr>
              <w:rPr>
                <w:color w:val="FF0000"/>
                <w:sz w:val="20"/>
                <w:szCs w:val="20"/>
              </w:rPr>
            </w:pPr>
            <w:r>
              <w:rPr>
                <w:color w:val="FF0000"/>
                <w:sz w:val="20"/>
                <w:szCs w:val="20"/>
              </w:rPr>
              <w:t xml:space="preserve">We </w:t>
            </w:r>
            <w:r w:rsidR="004F093B">
              <w:rPr>
                <w:color w:val="FF0000"/>
                <w:sz w:val="20"/>
                <w:szCs w:val="20"/>
              </w:rPr>
              <w:t xml:space="preserve">may then either go back over areas that </w:t>
            </w:r>
            <w:r w:rsidR="002E43E3">
              <w:rPr>
                <w:color w:val="FF0000"/>
                <w:sz w:val="20"/>
                <w:szCs w:val="20"/>
              </w:rPr>
              <w:t xml:space="preserve">were identified as issue in the mock or </w:t>
            </w:r>
            <w:r>
              <w:rPr>
                <w:color w:val="FF0000"/>
                <w:sz w:val="20"/>
                <w:szCs w:val="20"/>
              </w:rPr>
              <w:t xml:space="preserve">start the paper 2 units </w:t>
            </w:r>
          </w:p>
          <w:p w14:paraId="04005225" w14:textId="77777777" w:rsidR="004F093B" w:rsidRDefault="004F093B" w:rsidP="00627E40">
            <w:pPr>
              <w:rPr>
                <w:b/>
                <w:bCs/>
                <w:color w:val="000000" w:themeColor="text1"/>
                <w:sz w:val="20"/>
                <w:szCs w:val="20"/>
              </w:rPr>
            </w:pPr>
          </w:p>
          <w:p w14:paraId="31353820" w14:textId="48692013" w:rsidR="00627E40" w:rsidRPr="002A5A34" w:rsidRDefault="00627E40" w:rsidP="00627E40">
            <w:pPr>
              <w:rPr>
                <w:b/>
                <w:bCs/>
                <w:color w:val="000000" w:themeColor="text1"/>
                <w:sz w:val="20"/>
                <w:szCs w:val="20"/>
              </w:rPr>
            </w:pPr>
            <w:r w:rsidRPr="002A5A34">
              <w:rPr>
                <w:b/>
                <w:bCs/>
                <w:color w:val="000000" w:themeColor="text1"/>
                <w:sz w:val="20"/>
                <w:szCs w:val="20"/>
              </w:rPr>
              <w:t xml:space="preserve">P8  </w:t>
            </w:r>
            <w:r w:rsidR="00030A8F" w:rsidRPr="002A5A34">
              <w:rPr>
                <w:b/>
                <w:bCs/>
                <w:color w:val="000000" w:themeColor="text1"/>
                <w:sz w:val="20"/>
                <w:szCs w:val="20"/>
              </w:rPr>
              <w:t xml:space="preserve">Forces in Balance </w:t>
            </w:r>
            <w:r w:rsidRPr="002A5A34">
              <w:rPr>
                <w:b/>
                <w:bCs/>
                <w:color w:val="000000" w:themeColor="text1"/>
                <w:sz w:val="20"/>
                <w:szCs w:val="20"/>
              </w:rPr>
              <w:t xml:space="preserve"> </w:t>
            </w:r>
          </w:p>
          <w:p w14:paraId="2B155658" w14:textId="77777777" w:rsidR="002E43E3" w:rsidRDefault="002E43E3" w:rsidP="004F093B">
            <w:pPr>
              <w:rPr>
                <w:b/>
                <w:bCs/>
                <w:color w:val="000000" w:themeColor="text1"/>
                <w:sz w:val="20"/>
                <w:szCs w:val="20"/>
              </w:rPr>
            </w:pPr>
          </w:p>
          <w:p w14:paraId="7D0F20C5" w14:textId="41DBDF61" w:rsidR="004F093B" w:rsidRDefault="004F093B" w:rsidP="004F093B">
            <w:pPr>
              <w:rPr>
                <w:b/>
                <w:bCs/>
                <w:color w:val="000000" w:themeColor="text1"/>
                <w:sz w:val="20"/>
                <w:szCs w:val="20"/>
              </w:rPr>
            </w:pPr>
            <w:r>
              <w:rPr>
                <w:b/>
                <w:bCs/>
                <w:color w:val="000000" w:themeColor="text1"/>
                <w:sz w:val="20"/>
                <w:szCs w:val="20"/>
              </w:rPr>
              <w:t xml:space="preserve">Contact your teacher for further information via email. </w:t>
            </w:r>
          </w:p>
          <w:p w14:paraId="794A5FA3" w14:textId="67129B97" w:rsidR="00605EE8" w:rsidRPr="00796D11" w:rsidRDefault="00605EE8" w:rsidP="002151C0">
            <w:pPr>
              <w:rPr>
                <w:color w:val="000000" w:themeColor="text1"/>
                <w:sz w:val="20"/>
                <w:szCs w:val="20"/>
              </w:rPr>
            </w:pPr>
          </w:p>
        </w:tc>
      </w:tr>
    </w:tbl>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0"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1"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C685" w14:textId="77777777" w:rsidR="002A123B" w:rsidRDefault="002A123B" w:rsidP="00F125AC">
      <w:r>
        <w:separator/>
      </w:r>
    </w:p>
  </w:endnote>
  <w:endnote w:type="continuationSeparator" w:id="0">
    <w:p w14:paraId="66147C2B" w14:textId="77777777" w:rsidR="002A123B" w:rsidRDefault="002A123B"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60E8" w14:textId="77777777" w:rsidR="002A123B" w:rsidRDefault="002A123B" w:rsidP="00F125AC">
      <w:r>
        <w:separator/>
      </w:r>
    </w:p>
  </w:footnote>
  <w:footnote w:type="continuationSeparator" w:id="0">
    <w:p w14:paraId="110A53B3" w14:textId="77777777" w:rsidR="002A123B" w:rsidRDefault="002A123B"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435054858">
    <w:abstractNumId w:val="2"/>
  </w:num>
  <w:num w:numId="2" w16cid:durableId="1226645805">
    <w:abstractNumId w:val="1"/>
  </w:num>
  <w:num w:numId="3" w16cid:durableId="438992227">
    <w:abstractNumId w:val="3"/>
  </w:num>
  <w:num w:numId="4" w16cid:durableId="1487240566">
    <w:abstractNumId w:val="0"/>
  </w:num>
  <w:num w:numId="5" w16cid:durableId="1707875414">
    <w:abstractNumId w:val="1"/>
  </w:num>
  <w:num w:numId="6" w16cid:durableId="168065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2A65"/>
    <w:rsid w:val="00030A8F"/>
    <w:rsid w:val="0006319A"/>
    <w:rsid w:val="00076A7D"/>
    <w:rsid w:val="0008174C"/>
    <w:rsid w:val="00090311"/>
    <w:rsid w:val="000A4AC1"/>
    <w:rsid w:val="000D4FF3"/>
    <w:rsid w:val="000D76CF"/>
    <w:rsid w:val="00123C82"/>
    <w:rsid w:val="00125A58"/>
    <w:rsid w:val="00176CED"/>
    <w:rsid w:val="001E007A"/>
    <w:rsid w:val="002151C0"/>
    <w:rsid w:val="00221B2E"/>
    <w:rsid w:val="002251DD"/>
    <w:rsid w:val="00233F6D"/>
    <w:rsid w:val="00247394"/>
    <w:rsid w:val="002A123B"/>
    <w:rsid w:val="002A5A34"/>
    <w:rsid w:val="002E43E3"/>
    <w:rsid w:val="00314BBF"/>
    <w:rsid w:val="00340AC7"/>
    <w:rsid w:val="003858EF"/>
    <w:rsid w:val="003978D2"/>
    <w:rsid w:val="003A0771"/>
    <w:rsid w:val="003B7488"/>
    <w:rsid w:val="003C03F3"/>
    <w:rsid w:val="003C2F8F"/>
    <w:rsid w:val="003D6EFE"/>
    <w:rsid w:val="00443180"/>
    <w:rsid w:val="004724D4"/>
    <w:rsid w:val="004A0243"/>
    <w:rsid w:val="004D2F7F"/>
    <w:rsid w:val="004D3D5E"/>
    <w:rsid w:val="004E38FE"/>
    <w:rsid w:val="004E7252"/>
    <w:rsid w:val="004F093B"/>
    <w:rsid w:val="004F1639"/>
    <w:rsid w:val="00502EA4"/>
    <w:rsid w:val="00547AC3"/>
    <w:rsid w:val="0055088A"/>
    <w:rsid w:val="005551A4"/>
    <w:rsid w:val="0055551F"/>
    <w:rsid w:val="00597B64"/>
    <w:rsid w:val="005D0170"/>
    <w:rsid w:val="005D1776"/>
    <w:rsid w:val="005D3A19"/>
    <w:rsid w:val="005F0D9C"/>
    <w:rsid w:val="005F3C8B"/>
    <w:rsid w:val="00603D12"/>
    <w:rsid w:val="00605EE8"/>
    <w:rsid w:val="00606A14"/>
    <w:rsid w:val="006072CD"/>
    <w:rsid w:val="00615F5C"/>
    <w:rsid w:val="00616D15"/>
    <w:rsid w:val="00627E40"/>
    <w:rsid w:val="00655CA8"/>
    <w:rsid w:val="0067768F"/>
    <w:rsid w:val="00680A4B"/>
    <w:rsid w:val="006C322A"/>
    <w:rsid w:val="0070113E"/>
    <w:rsid w:val="007315A0"/>
    <w:rsid w:val="007418FE"/>
    <w:rsid w:val="007438C2"/>
    <w:rsid w:val="00745FEB"/>
    <w:rsid w:val="007762CF"/>
    <w:rsid w:val="00796D11"/>
    <w:rsid w:val="00801234"/>
    <w:rsid w:val="00821BF2"/>
    <w:rsid w:val="008504CE"/>
    <w:rsid w:val="00852E26"/>
    <w:rsid w:val="00862A40"/>
    <w:rsid w:val="008667F5"/>
    <w:rsid w:val="00891803"/>
    <w:rsid w:val="008A3543"/>
    <w:rsid w:val="008C085C"/>
    <w:rsid w:val="008E6037"/>
    <w:rsid w:val="009144F2"/>
    <w:rsid w:val="00961BFF"/>
    <w:rsid w:val="00963B34"/>
    <w:rsid w:val="0098352E"/>
    <w:rsid w:val="009E0BAC"/>
    <w:rsid w:val="00A06406"/>
    <w:rsid w:val="00A12C1A"/>
    <w:rsid w:val="00A1382D"/>
    <w:rsid w:val="00A4532E"/>
    <w:rsid w:val="00A67665"/>
    <w:rsid w:val="00A878D9"/>
    <w:rsid w:val="00AA468D"/>
    <w:rsid w:val="00AF0043"/>
    <w:rsid w:val="00B12758"/>
    <w:rsid w:val="00B16653"/>
    <w:rsid w:val="00B24373"/>
    <w:rsid w:val="00B24D14"/>
    <w:rsid w:val="00B53488"/>
    <w:rsid w:val="00B75D46"/>
    <w:rsid w:val="00BA5BEB"/>
    <w:rsid w:val="00BB034C"/>
    <w:rsid w:val="00BE314D"/>
    <w:rsid w:val="00C03803"/>
    <w:rsid w:val="00C31F61"/>
    <w:rsid w:val="00C34413"/>
    <w:rsid w:val="00C3598D"/>
    <w:rsid w:val="00C3731B"/>
    <w:rsid w:val="00C40EEF"/>
    <w:rsid w:val="00C65198"/>
    <w:rsid w:val="00CC18B9"/>
    <w:rsid w:val="00CE4ED1"/>
    <w:rsid w:val="00CF52C9"/>
    <w:rsid w:val="00D00ABD"/>
    <w:rsid w:val="00D1443A"/>
    <w:rsid w:val="00D17914"/>
    <w:rsid w:val="00D251F9"/>
    <w:rsid w:val="00D30536"/>
    <w:rsid w:val="00D5583B"/>
    <w:rsid w:val="00D75550"/>
    <w:rsid w:val="00D76D9A"/>
    <w:rsid w:val="00DD0539"/>
    <w:rsid w:val="00DF1A29"/>
    <w:rsid w:val="00E155CA"/>
    <w:rsid w:val="00E60127"/>
    <w:rsid w:val="00E86AB2"/>
    <w:rsid w:val="00E92B39"/>
    <w:rsid w:val="00EC5689"/>
    <w:rsid w:val="00ED656A"/>
    <w:rsid w:val="00EF01F0"/>
    <w:rsid w:val="00EF1A56"/>
    <w:rsid w:val="00EF7D7A"/>
    <w:rsid w:val="00F125AC"/>
    <w:rsid w:val="00F21A34"/>
    <w:rsid w:val="00F21DF4"/>
    <w:rsid w:val="00F47D96"/>
    <w:rsid w:val="00F55511"/>
    <w:rsid w:val="00F668FB"/>
    <w:rsid w:val="00F72083"/>
    <w:rsid w:val="00F8426A"/>
    <w:rsid w:val="00F87625"/>
    <w:rsid w:val="00F93E9A"/>
    <w:rsid w:val="00F94E1E"/>
    <w:rsid w:val="00FA1B05"/>
    <w:rsid w:val="00FB5A52"/>
    <w:rsid w:val="00FC0D2C"/>
    <w:rsid w:val="00FC0DD5"/>
    <w:rsid w:val="00FD6811"/>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7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bioenergetics-244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ke.co.uk" TargetMode="External"/><Relationship Id="rId5" Type="http://schemas.openxmlformats.org/officeDocument/2006/relationships/footnotes" Target="footnotes.xml"/><Relationship Id="rId10" Type="http://schemas.openxmlformats.org/officeDocument/2006/relationships/hyperlink" Target="https://www.kerboodle.com/users/login?user_return_to=%2Fapp" TargetMode="External"/><Relationship Id="rId4" Type="http://schemas.openxmlformats.org/officeDocument/2006/relationships/webSettings" Target="webSettings.xml"/><Relationship Id="rId9" Type="http://schemas.openxmlformats.org/officeDocument/2006/relationships/hyperlink" Target="https://classroom.thenational.academy/units/energy-changes-b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55</cp:revision>
  <cp:lastPrinted>2020-07-17T17:01:00Z</cp:lastPrinted>
  <dcterms:created xsi:type="dcterms:W3CDTF">2021-10-15T15:08:00Z</dcterms:created>
  <dcterms:modified xsi:type="dcterms:W3CDTF">2022-05-31T15:18:00Z</dcterms:modified>
</cp:coreProperties>
</file>