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732C" w14:textId="675633CD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1808E8">
        <w:rPr>
          <w:b/>
          <w:bCs/>
          <w:u w:val="single"/>
        </w:rPr>
        <w:t>6</w:t>
      </w:r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4D4EA4E" w14:textId="77777777" w:rsidR="00B07ECF" w:rsidRPr="00B07ECF" w:rsidRDefault="00B07ECF" w:rsidP="00B07ECF">
      <w:r w:rsidRPr="00B07ECF">
        <w:t>7G are the exception to this. Mrs Couchman teaches 2 lessons of History a week, Miss Whitehouse teaches one lesson of Geography a week.</w:t>
      </w:r>
    </w:p>
    <w:p w14:paraId="306EEE53" w14:textId="77777777" w:rsidR="00B07ECF" w:rsidRPr="00B07ECF" w:rsidRDefault="00B07ECF" w:rsidP="00B07ECF"/>
    <w:p w14:paraId="2AB9BE7F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Online resources</w:t>
      </w:r>
    </w:p>
    <w:p w14:paraId="1B6C8B7E" w14:textId="6F40CDA5" w:rsidR="00B07ECF" w:rsidRPr="00B07ECF" w:rsidRDefault="00B07ECF" w:rsidP="00B07ECF">
      <w:r w:rsidRPr="00B07ECF">
        <w:t>Most lessons will involve the use of online textbooks. These can be found at</w:t>
      </w:r>
    </w:p>
    <w:p w14:paraId="2E302782" w14:textId="77777777" w:rsidR="00B07ECF" w:rsidRPr="00B07ECF" w:rsidRDefault="00B07ECF" w:rsidP="00B07ECF"/>
    <w:p w14:paraId="08686BB0" w14:textId="77777777" w:rsidR="00B07ECF" w:rsidRPr="00B07ECF" w:rsidRDefault="00BE519A" w:rsidP="00B07ECF">
      <w:hyperlink r:id="rId6" w:history="1">
        <w:r w:rsidR="00B07ECF" w:rsidRPr="00B07ECF">
          <w:rPr>
            <w:rStyle w:val="Hyperlink"/>
          </w:rPr>
          <w:t>www.kerboodle.com</w:t>
        </w:r>
      </w:hyperlink>
    </w:p>
    <w:p w14:paraId="4D4C24F6" w14:textId="4CFB4871" w:rsidR="00B07ECF" w:rsidRDefault="00B07ECF" w:rsidP="00B07ECF">
      <w:r w:rsidRPr="00B07ECF">
        <w:t>Pupils will need an institution code, a username and password.</w:t>
      </w:r>
    </w:p>
    <w:p w14:paraId="5F16F23D" w14:textId="16AE501D" w:rsidR="00A60B4D" w:rsidRPr="00A60B4D" w:rsidRDefault="00A60B4D" w:rsidP="00B07ECF">
      <w:pPr>
        <w:rPr>
          <w:b/>
          <w:bCs/>
        </w:rPr>
      </w:pPr>
      <w:r>
        <w:t xml:space="preserve">Username – full school email </w:t>
      </w:r>
      <w:r w:rsidRPr="00A60B4D">
        <w:rPr>
          <w:b/>
          <w:bCs/>
        </w:rPr>
        <w:t>e.g. 21jbloggs@cirencesterkingshill.gloucs.sch.uk</w:t>
      </w:r>
    </w:p>
    <w:p w14:paraId="1B4A3829" w14:textId="5B821932" w:rsidR="00A60B4D" w:rsidRPr="00B07ECF" w:rsidRDefault="00A60B4D" w:rsidP="00B07ECF">
      <w:r>
        <w:t xml:space="preserve">Password – first part of the email address </w:t>
      </w:r>
      <w:r w:rsidRPr="00A60B4D">
        <w:rPr>
          <w:b/>
          <w:bCs/>
        </w:rPr>
        <w:t>e.g.</w:t>
      </w:r>
      <w:r>
        <w:t xml:space="preserve"> </w:t>
      </w:r>
      <w:r w:rsidRPr="00A60B4D">
        <w:rPr>
          <w:b/>
          <w:bCs/>
        </w:rPr>
        <w:t>21jbloggs (this needs to be changed when pupil logs in for the first time)</w:t>
      </w:r>
    </w:p>
    <w:p w14:paraId="7D32CCC7" w14:textId="28B396DB" w:rsidR="00B07ECF" w:rsidRPr="00B07ECF" w:rsidRDefault="00B07ECF" w:rsidP="00B07ECF">
      <w:r w:rsidRPr="00B07ECF">
        <w:t xml:space="preserve">The institution code is </w:t>
      </w:r>
      <w:r w:rsidR="00A60B4D" w:rsidRPr="00A60B4D">
        <w:rPr>
          <w:b/>
          <w:bCs/>
        </w:rPr>
        <w:t>ycw</w:t>
      </w:r>
      <w:r w:rsidRPr="00A60B4D">
        <w:rPr>
          <w:b/>
          <w:bCs/>
        </w:rPr>
        <w:t>7</w:t>
      </w:r>
    </w:p>
    <w:p w14:paraId="20E6DF36" w14:textId="77777777" w:rsidR="00B07ECF" w:rsidRPr="00B07ECF" w:rsidRDefault="00B07ECF" w:rsidP="00B07ECF">
      <w:r w:rsidRPr="00B07ECF">
        <w:t>If the username or password have been forgotten then pupils should contact their subject teacher.</w:t>
      </w:r>
    </w:p>
    <w:p w14:paraId="540DEA44" w14:textId="77777777" w:rsidR="00B07ECF" w:rsidRPr="00B07ECF" w:rsidRDefault="00B07ECF" w:rsidP="00B07ECF"/>
    <w:p w14:paraId="34E10FC4" w14:textId="77777777" w:rsidR="00B07ECF" w:rsidRPr="00B07ECF" w:rsidRDefault="00B07ECF" w:rsidP="00B07ECF">
      <w:r w:rsidRPr="00B07ECF">
        <w:t xml:space="preserve">Textbooks that are not found on </w:t>
      </w:r>
      <w:proofErr w:type="spellStart"/>
      <w:r w:rsidRPr="00B07ECF">
        <w:t>Kerboodle</w:t>
      </w:r>
      <w:proofErr w:type="spellEnd"/>
      <w:r w:rsidRPr="00B07ECF">
        <w:t xml:space="preserve"> are scanned in. The relevant pages can be found in the pupil work area of the school website.</w:t>
      </w:r>
    </w:p>
    <w:p w14:paraId="39269C9C" w14:textId="77777777" w:rsidR="00B07ECF" w:rsidRPr="00B07ECF" w:rsidRDefault="00B07ECF" w:rsidP="00B07ECF">
      <w:r w:rsidRPr="00B07ECF">
        <w:t>Other online resources can be found by using the link in the lesson description.</w:t>
      </w:r>
    </w:p>
    <w:p w14:paraId="1952CE50" w14:textId="77777777" w:rsidR="00B07ECF" w:rsidRPr="00B07ECF" w:rsidRDefault="00B07ECF" w:rsidP="00B07ECF"/>
    <w:p w14:paraId="18C18B09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Extension activities</w:t>
      </w:r>
    </w:p>
    <w:p w14:paraId="1191E2AB" w14:textId="30FAA454" w:rsidR="00B07ECF" w:rsidRPr="00B07ECF" w:rsidRDefault="00B07ECF" w:rsidP="00B07ECF">
      <w:r w:rsidRPr="00B07ECF">
        <w:t>Useful websites for extension activities include</w:t>
      </w:r>
    </w:p>
    <w:p w14:paraId="24B17877" w14:textId="77777777" w:rsidR="00B07ECF" w:rsidRPr="00B07ECF" w:rsidRDefault="00B07ECF" w:rsidP="00B07ECF"/>
    <w:p w14:paraId="47672580" w14:textId="77777777" w:rsidR="00B07ECF" w:rsidRPr="00B07ECF" w:rsidRDefault="00B07ECF" w:rsidP="00B07ECF">
      <w:r w:rsidRPr="00B07ECF">
        <w:t xml:space="preserve">BBC Bitesize - </w:t>
      </w:r>
      <w:hyperlink r:id="rId7" w:history="1">
        <w:r w:rsidRPr="00B07ECF">
          <w:rPr>
            <w:rStyle w:val="Hyperlink"/>
          </w:rPr>
          <w:t>https://www.bbc.co.uk/bitesize/secondary</w:t>
        </w:r>
      </w:hyperlink>
    </w:p>
    <w:p w14:paraId="5B168926" w14:textId="77777777" w:rsidR="00B07ECF" w:rsidRPr="00B07ECF" w:rsidRDefault="00B07ECF" w:rsidP="00B07ECF">
      <w:r w:rsidRPr="00B07ECF">
        <w:t xml:space="preserve">Oak National Academy - </w:t>
      </w:r>
      <w:hyperlink r:id="rId8" w:history="1">
        <w:r w:rsidRPr="00B07ECF">
          <w:rPr>
            <w:rStyle w:val="Hyperlink"/>
          </w:rPr>
          <w:t>https://classroom.thenational.academy</w:t>
        </w:r>
      </w:hyperlink>
    </w:p>
    <w:p w14:paraId="0A9854FE" w14:textId="674948A0" w:rsidR="00B07ECF" w:rsidRPr="00B07ECF" w:rsidRDefault="00B07ECF" w:rsidP="00B07ECF">
      <w:proofErr w:type="spellStart"/>
      <w:proofErr w:type="gramStart"/>
      <w:r w:rsidRPr="00B07ECF">
        <w:t>eneca</w:t>
      </w:r>
      <w:proofErr w:type="spellEnd"/>
      <w:proofErr w:type="gramEnd"/>
      <w:r w:rsidRPr="00B07ECF">
        <w:t xml:space="preserve"> online learning - </w:t>
      </w:r>
      <w:hyperlink r:id="rId9" w:history="1">
        <w:r w:rsidRPr="00B07ECF">
          <w:rPr>
            <w:rStyle w:val="Hyperlink"/>
          </w:rPr>
          <w:t>https://app.senecalearning.com/courses?Price=Free</w:t>
        </w:r>
      </w:hyperlink>
    </w:p>
    <w:p w14:paraId="1101541E" w14:textId="77777777" w:rsidR="00B07ECF" w:rsidRPr="00B07ECF" w:rsidRDefault="00B07ECF" w:rsidP="00B07ECF"/>
    <w:p w14:paraId="7B04AD14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Homework</w:t>
      </w:r>
    </w:p>
    <w:p w14:paraId="6EB153F4" w14:textId="0C8DBB7B" w:rsidR="00B07ECF" w:rsidRPr="00B07ECF" w:rsidRDefault="00B07ECF" w:rsidP="00B07ECF">
      <w:r w:rsidRPr="00B07ECF">
        <w:t>Homework will continue to be set via Show my Homework</w:t>
      </w:r>
      <w:r w:rsidR="00A60B4D">
        <w:t xml:space="preserve">. </w:t>
      </w:r>
      <w:r w:rsidRPr="00B07ECF">
        <w:t>Pupils will need usernames and passwords. If these have been forgotten then pupils should contact their subject teacher.</w:t>
      </w:r>
    </w:p>
    <w:p w14:paraId="3C47640C" w14:textId="77777777" w:rsidR="00B07ECF" w:rsidRDefault="00B07ECF" w:rsidP="001109B4">
      <w:pPr>
        <w:jc w:val="center"/>
        <w:rPr>
          <w:b/>
          <w:bCs/>
          <w:u w:val="single"/>
        </w:rPr>
      </w:pPr>
    </w:p>
    <w:p w14:paraId="2317C318" w14:textId="61A4407D" w:rsidR="00257A87" w:rsidRDefault="00257A87" w:rsidP="001109B4">
      <w:pPr>
        <w:jc w:val="center"/>
        <w:rPr>
          <w:b/>
          <w:bCs/>
          <w:u w:val="single"/>
        </w:rPr>
      </w:pPr>
    </w:p>
    <w:p w14:paraId="1AFD26C5" w14:textId="77777777" w:rsidR="00B07ECF" w:rsidRDefault="00B07ECF" w:rsidP="001109B4">
      <w:pPr>
        <w:jc w:val="center"/>
        <w:rPr>
          <w:b/>
          <w:bCs/>
          <w:highlight w:val="yellow"/>
        </w:rPr>
      </w:pPr>
    </w:p>
    <w:p w14:paraId="30E21DAF" w14:textId="77777777" w:rsidR="00B07ECF" w:rsidRDefault="00B07ECF" w:rsidP="001109B4">
      <w:pPr>
        <w:jc w:val="center"/>
        <w:rPr>
          <w:b/>
          <w:bCs/>
          <w:highlight w:val="yellow"/>
        </w:rPr>
      </w:pPr>
    </w:p>
    <w:p w14:paraId="34D990CF" w14:textId="77777777" w:rsidR="00B07ECF" w:rsidRDefault="00B07ECF" w:rsidP="001109B4">
      <w:pPr>
        <w:jc w:val="center"/>
        <w:rPr>
          <w:b/>
          <w:bCs/>
          <w:highlight w:val="yellow"/>
        </w:rPr>
      </w:pP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7563"/>
        <w:gridCol w:w="4252"/>
      </w:tblGrid>
      <w:tr w:rsidR="001109B4" w:rsidRPr="00655553" w14:paraId="4AB4D1FD" w14:textId="77777777" w:rsidTr="0086740C">
        <w:tc>
          <w:tcPr>
            <w:tcW w:w="3494" w:type="dxa"/>
            <w:vAlign w:val="center"/>
          </w:tcPr>
          <w:p w14:paraId="5D66565F" w14:textId="768637E0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 w:rsidR="00C14A01"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7563" w:type="dxa"/>
            <w:vAlign w:val="center"/>
          </w:tcPr>
          <w:p w14:paraId="3A0C4FEE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  <w:tc>
          <w:tcPr>
            <w:tcW w:w="4252" w:type="dxa"/>
            <w:vAlign w:val="center"/>
          </w:tcPr>
          <w:p w14:paraId="05633A00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Resources</w:t>
            </w:r>
          </w:p>
        </w:tc>
      </w:tr>
      <w:tr w:rsidR="00672DFE" w:rsidRPr="00655553" w14:paraId="60AE669A" w14:textId="77777777" w:rsidTr="00672DFE">
        <w:trPr>
          <w:trHeight w:val="3399"/>
        </w:trPr>
        <w:tc>
          <w:tcPr>
            <w:tcW w:w="3494" w:type="dxa"/>
            <w:vAlign w:val="center"/>
          </w:tcPr>
          <w:p w14:paraId="3017D708" w14:textId="471E6A84" w:rsidR="00672DFE" w:rsidRDefault="001808E8" w:rsidP="00A920BE">
            <w:pPr>
              <w:rPr>
                <w:rFonts w:cstheme="minorHAnsi"/>
              </w:rPr>
            </w:pPr>
            <w:r>
              <w:rPr>
                <w:rFonts w:cstheme="minorHAnsi"/>
              </w:rPr>
              <w:t>1-2</w:t>
            </w:r>
            <w:r w:rsidR="00672DFE">
              <w:rPr>
                <w:rFonts w:cstheme="minorHAnsi"/>
              </w:rPr>
              <w:t>. A Knight’s Tale</w:t>
            </w:r>
          </w:p>
        </w:tc>
        <w:tc>
          <w:tcPr>
            <w:tcW w:w="7563" w:type="dxa"/>
            <w:vAlign w:val="center"/>
          </w:tcPr>
          <w:p w14:paraId="3E46F3DA" w14:textId="77777777" w:rsidR="00672DFE" w:rsidRDefault="00672DFE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  <w:proofErr w:type="spellStart"/>
            <w:r>
              <w:rPr>
                <w:rFonts w:cstheme="minorHAnsi"/>
              </w:rPr>
              <w:t>Clickview</w:t>
            </w:r>
            <w:proofErr w:type="spellEnd"/>
            <w:r>
              <w:rPr>
                <w:rFonts w:cstheme="minorHAnsi"/>
              </w:rPr>
              <w:t xml:space="preserve"> (if you cannot log in email </w:t>
            </w:r>
            <w:hyperlink r:id="rId10" w:history="1">
              <w:r w:rsidRPr="00001E15">
                <w:rPr>
                  <w:rStyle w:val="Hyperlink"/>
                  <w:rFonts w:cstheme="minorHAnsi"/>
                </w:rPr>
                <w:t>devans@cirencesterkingshill.gloucs.sch.uk</w:t>
              </w:r>
            </w:hyperlink>
            <w:r>
              <w:rPr>
                <w:rFonts w:cstheme="minorHAnsi"/>
              </w:rPr>
              <w:t xml:space="preserve">) you need to search for A Knight’s Tale (2h 3mins). </w:t>
            </w:r>
          </w:p>
          <w:p w14:paraId="4E0742BF" w14:textId="77777777" w:rsidR="00672DFE" w:rsidRDefault="00672DFE" w:rsidP="00876C52">
            <w:pPr>
              <w:rPr>
                <w:rFonts w:cstheme="minorHAnsi"/>
              </w:rPr>
            </w:pPr>
          </w:p>
          <w:p w14:paraId="79B2A0B5" w14:textId="77777777" w:rsidR="00672DFE" w:rsidRDefault="00672DFE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Print out a copy of the lesson 8-10 worksheet. </w:t>
            </w:r>
          </w:p>
          <w:p w14:paraId="54CC4473" w14:textId="77777777" w:rsidR="00672DFE" w:rsidRDefault="00672DFE" w:rsidP="00876C52">
            <w:pPr>
              <w:rPr>
                <w:rFonts w:cstheme="minorHAnsi"/>
              </w:rPr>
            </w:pPr>
          </w:p>
          <w:p w14:paraId="0EB9568D" w14:textId="77777777" w:rsidR="00672DFE" w:rsidRDefault="00672DFE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>As you watch, complete the worksheet, making notes in the table then answering the questions at the end.</w:t>
            </w:r>
          </w:p>
          <w:p w14:paraId="0AEEE310" w14:textId="77777777" w:rsidR="00672DFE" w:rsidRDefault="00672DFE" w:rsidP="00876C52">
            <w:pPr>
              <w:rPr>
                <w:rFonts w:cstheme="minorHAnsi"/>
              </w:rPr>
            </w:pPr>
          </w:p>
          <w:p w14:paraId="7B5BB297" w14:textId="77777777" w:rsidR="00672DFE" w:rsidRDefault="00672DFE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>Finally, write a review of the film (½ side to 1 side in total) explaining what you thought about the film and how useful it is for learning about Medieval Knights.</w:t>
            </w:r>
          </w:p>
          <w:p w14:paraId="7BC858E9" w14:textId="77777777" w:rsidR="00672DFE" w:rsidRDefault="00672DFE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Include:</w:t>
            </w:r>
          </w:p>
          <w:p w14:paraId="5007CA32" w14:textId="3058E143" w:rsidR="00672DFE" w:rsidRDefault="00672DFE" w:rsidP="00672D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overview of the plot</w:t>
            </w:r>
          </w:p>
          <w:p w14:paraId="5CC687A0" w14:textId="164F0347" w:rsidR="00672DFE" w:rsidRDefault="00672DFE" w:rsidP="00672D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was good about the film</w:t>
            </w:r>
          </w:p>
          <w:p w14:paraId="1075F0D1" w14:textId="23F08A84" w:rsidR="00672DFE" w:rsidRDefault="00672DFE" w:rsidP="00672D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was less enjoyable about the film</w:t>
            </w:r>
          </w:p>
          <w:p w14:paraId="5DFEA9DE" w14:textId="3EC3DE4F" w:rsidR="00672DFE" w:rsidRDefault="00672DFE" w:rsidP="00672D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useful the film is for telling you about Medieval Knights and tournaments/what can you learn from watching it.</w:t>
            </w:r>
          </w:p>
          <w:p w14:paraId="7B3461A0" w14:textId="70CC5B28" w:rsidR="00672DFE" w:rsidRPr="00672DFE" w:rsidRDefault="00672DFE" w:rsidP="00672DF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Finish with a star rating (out of 5 with 5 being superb and 1 being not great!)</w:t>
            </w:r>
          </w:p>
          <w:p w14:paraId="1DA1226E" w14:textId="10CBF6D1" w:rsidR="00672DFE" w:rsidRDefault="00672DFE" w:rsidP="00876C52">
            <w:pPr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365795DF" w14:textId="2F4E3193" w:rsidR="00672DFE" w:rsidRDefault="00672DFE" w:rsidP="00672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</w:t>
            </w:r>
            <w:r w:rsidR="001808E8">
              <w:rPr>
                <w:rFonts w:cstheme="minorHAnsi"/>
              </w:rPr>
              <w:t>1-2</w:t>
            </w:r>
            <w:r>
              <w:rPr>
                <w:rFonts w:cstheme="minorHAnsi"/>
              </w:rPr>
              <w:t xml:space="preserve"> Worksheet – A Knight’s Tale</w:t>
            </w:r>
          </w:p>
          <w:p w14:paraId="49B2853E" w14:textId="796326ED" w:rsidR="00672DFE" w:rsidRDefault="00672DFE" w:rsidP="00672DFE">
            <w:pPr>
              <w:rPr>
                <w:rFonts w:cstheme="minorHAnsi"/>
              </w:rPr>
            </w:pPr>
            <w:r>
              <w:rPr>
                <w:rFonts w:cstheme="minorHAnsi"/>
              </w:rPr>
              <w:t>ClickView (A Knight’s Tale)</w:t>
            </w:r>
          </w:p>
        </w:tc>
      </w:tr>
      <w:tr w:rsidR="001808E8" w:rsidRPr="00655553" w14:paraId="496C4ECB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673EEBE1" w14:textId="5CB5B575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3. England and its Neighbours - Wales</w:t>
            </w:r>
          </w:p>
        </w:tc>
        <w:tc>
          <w:tcPr>
            <w:tcW w:w="7563" w:type="dxa"/>
            <w:vAlign w:val="center"/>
          </w:tcPr>
          <w:p w14:paraId="3B365935" w14:textId="77777777" w:rsidR="001808E8" w:rsidRDefault="001808E8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158-159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</w:p>
          <w:p w14:paraId="73EBFA77" w14:textId="457E494A" w:rsidR="001808E8" w:rsidRDefault="001808E8" w:rsidP="00876C5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Q1-3 on page 159 in the blue work box. Then complete the change and continuity questions 1 and 2 on page 159.</w:t>
            </w:r>
          </w:p>
        </w:tc>
        <w:tc>
          <w:tcPr>
            <w:tcW w:w="4252" w:type="dxa"/>
            <w:vAlign w:val="center"/>
          </w:tcPr>
          <w:p w14:paraId="3EF49E5E" w14:textId="3F7693D7" w:rsidR="001808E8" w:rsidRDefault="001808E8" w:rsidP="00672DFE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Invasion, Plague and Murder pages 158-159 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808E8" w:rsidRPr="00655553" w14:paraId="4EBC3AFA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237398A4" w14:textId="56BDCD97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4. England and its Neighbours - Scotland</w:t>
            </w:r>
          </w:p>
        </w:tc>
        <w:tc>
          <w:tcPr>
            <w:tcW w:w="7563" w:type="dxa"/>
            <w:vAlign w:val="center"/>
          </w:tcPr>
          <w:p w14:paraId="626B5B2D" w14:textId="0282E0EF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</w:t>
            </w:r>
            <w:r>
              <w:rPr>
                <w:rFonts w:cstheme="minorHAnsi"/>
              </w:rPr>
              <w:t>160-161</w:t>
            </w:r>
            <w:r>
              <w:rPr>
                <w:rFonts w:cstheme="minorHAnsi"/>
              </w:rPr>
              <w:t xml:space="preserve">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</w:p>
          <w:p w14:paraId="24B37EFB" w14:textId="4CC4E4FB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Q1-3 on page </w:t>
            </w:r>
            <w:r>
              <w:rPr>
                <w:rFonts w:cstheme="minorHAnsi"/>
              </w:rPr>
              <w:t>161</w:t>
            </w:r>
            <w:r>
              <w:rPr>
                <w:rFonts w:cstheme="minorHAnsi"/>
              </w:rPr>
              <w:t xml:space="preserve"> in the blue work box. Then complete the </w:t>
            </w:r>
            <w:r>
              <w:rPr>
                <w:rFonts w:cstheme="minorHAnsi"/>
              </w:rPr>
              <w:t>interpretation analysis</w:t>
            </w:r>
            <w:r>
              <w:rPr>
                <w:rFonts w:cstheme="minorHAnsi"/>
              </w:rPr>
              <w:t xml:space="preserve"> questions 1 </w:t>
            </w:r>
            <w:r>
              <w:rPr>
                <w:rFonts w:cstheme="minorHAnsi"/>
              </w:rPr>
              <w:t>to 3</w:t>
            </w:r>
            <w:r>
              <w:rPr>
                <w:rFonts w:cstheme="minorHAnsi"/>
              </w:rPr>
              <w:t xml:space="preserve"> on page </w:t>
            </w:r>
            <w:r>
              <w:rPr>
                <w:rFonts w:cstheme="minorHAnsi"/>
              </w:rPr>
              <w:t>161</w:t>
            </w:r>
            <w:r>
              <w:rPr>
                <w:rFonts w:cstheme="minorHAnsi"/>
              </w:rPr>
              <w:t>.</w:t>
            </w:r>
          </w:p>
        </w:tc>
        <w:tc>
          <w:tcPr>
            <w:tcW w:w="4252" w:type="dxa"/>
            <w:vAlign w:val="center"/>
          </w:tcPr>
          <w:p w14:paraId="151B2DE4" w14:textId="767F2007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Invasion, Plague and Murder pages 1</w:t>
            </w:r>
            <w:r>
              <w:rPr>
                <w:rFonts w:cstheme="minorHAnsi"/>
              </w:rPr>
              <w:t>60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t>161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808E8" w:rsidRPr="00655553" w14:paraId="2271ADA9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3FE72D31" w14:textId="0D19EE2C" w:rsidR="001808E8" w:rsidRDefault="001808E8" w:rsidP="00A920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 England and its Neighbours - Ireland</w:t>
            </w:r>
          </w:p>
        </w:tc>
        <w:tc>
          <w:tcPr>
            <w:tcW w:w="7563" w:type="dxa"/>
            <w:vAlign w:val="center"/>
          </w:tcPr>
          <w:p w14:paraId="464365FC" w14:textId="7AEBA77D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</w:t>
            </w:r>
            <w:r>
              <w:rPr>
                <w:rFonts w:cstheme="minorHAnsi"/>
              </w:rPr>
              <w:t>162-163</w:t>
            </w:r>
            <w:r>
              <w:rPr>
                <w:rFonts w:cstheme="minorHAnsi"/>
              </w:rPr>
              <w:t xml:space="preserve">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</w:p>
          <w:p w14:paraId="22BD901D" w14:textId="0002E96A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Q1-3 on page 16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in the blue work box. </w:t>
            </w:r>
          </w:p>
        </w:tc>
        <w:tc>
          <w:tcPr>
            <w:tcW w:w="4252" w:type="dxa"/>
            <w:vAlign w:val="center"/>
          </w:tcPr>
          <w:p w14:paraId="5D4E5DCF" w14:textId="03A2C4E6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pages </w:t>
            </w:r>
            <w:r>
              <w:rPr>
                <w:rFonts w:cstheme="minorHAnsi"/>
              </w:rPr>
              <w:t xml:space="preserve">162-163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808E8" w:rsidRPr="00655553" w14:paraId="6E45B403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04825601" w14:textId="42CBF6BA" w:rsidR="001808E8" w:rsidRDefault="001808E8" w:rsidP="00A920BE">
            <w:pPr>
              <w:rPr>
                <w:rFonts w:cstheme="minorHAnsi"/>
              </w:rPr>
            </w:pPr>
            <w:r>
              <w:rPr>
                <w:rFonts w:cstheme="minorHAnsi"/>
              </w:rPr>
              <w:t>6-7. England and its Neighbours - France</w:t>
            </w:r>
          </w:p>
        </w:tc>
        <w:tc>
          <w:tcPr>
            <w:tcW w:w="7563" w:type="dxa"/>
            <w:vAlign w:val="center"/>
          </w:tcPr>
          <w:p w14:paraId="18AC2ACC" w14:textId="4B2DD18B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16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-16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</w:p>
          <w:p w14:paraId="172A2135" w14:textId="58AA6DBE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on page 16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in the blue work box. Then complete the </w:t>
            </w:r>
            <w:r>
              <w:rPr>
                <w:rFonts w:cstheme="minorHAnsi"/>
              </w:rPr>
              <w:t>cause and consequences questions 1, 2 and 4 on page 165. Then read pages 166-167 and complete the blue question box. Finally answer the questions 1 and 2 in the purple box.</w:t>
            </w:r>
          </w:p>
        </w:tc>
        <w:tc>
          <w:tcPr>
            <w:tcW w:w="4252" w:type="dxa"/>
            <w:vAlign w:val="center"/>
          </w:tcPr>
          <w:p w14:paraId="4648B49D" w14:textId="1300A143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Invasion, Plague and Murder pages 16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-16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808E8" w:rsidRPr="00655553" w14:paraId="053E5192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02C1B4EB" w14:textId="3D49289B" w:rsidR="001808E8" w:rsidRDefault="001808E8" w:rsidP="00A920BE">
            <w:pPr>
              <w:rPr>
                <w:rFonts w:cstheme="minorHAnsi"/>
              </w:rPr>
            </w:pPr>
            <w:r>
              <w:rPr>
                <w:rFonts w:cstheme="minorHAnsi"/>
              </w:rPr>
              <w:t>8. Medieval Britain – What Changed</w:t>
            </w:r>
            <w:r w:rsidR="00BE519A">
              <w:rPr>
                <w:rFonts w:cstheme="minorHAnsi"/>
              </w:rPr>
              <w:t xml:space="preserve"> - Exploration</w:t>
            </w:r>
            <w:r>
              <w:rPr>
                <w:rFonts w:cstheme="minorHAnsi"/>
              </w:rPr>
              <w:t>?</w:t>
            </w:r>
          </w:p>
        </w:tc>
        <w:tc>
          <w:tcPr>
            <w:tcW w:w="7563" w:type="dxa"/>
            <w:vAlign w:val="center"/>
          </w:tcPr>
          <w:p w14:paraId="5C464927" w14:textId="7D8B6868" w:rsidR="001808E8" w:rsidRDefault="001808E8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204-207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  <w:r w:rsidR="00BE519A">
              <w:rPr>
                <w:rFonts w:cstheme="minorHAnsi"/>
              </w:rPr>
              <w:t xml:space="preserve"> Using the information on the double page make a leaflet, poster or PowerPoint presentation about how the understanding of the world changed during the Medieval times due to explorers.</w:t>
            </w:r>
          </w:p>
        </w:tc>
        <w:tc>
          <w:tcPr>
            <w:tcW w:w="4252" w:type="dxa"/>
            <w:vAlign w:val="center"/>
          </w:tcPr>
          <w:p w14:paraId="0F713657" w14:textId="7685584D" w:rsidR="001808E8" w:rsidRDefault="001808E8" w:rsidP="00BE51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pages </w:t>
            </w:r>
            <w:r w:rsidR="00BE519A">
              <w:rPr>
                <w:rFonts w:cstheme="minorHAnsi"/>
              </w:rPr>
              <w:t>204-207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BE519A" w:rsidRPr="00655553" w14:paraId="7EBC33D1" w14:textId="77777777" w:rsidTr="001808E8">
        <w:trPr>
          <w:trHeight w:val="1728"/>
        </w:trPr>
        <w:tc>
          <w:tcPr>
            <w:tcW w:w="3494" w:type="dxa"/>
            <w:vAlign w:val="center"/>
          </w:tcPr>
          <w:p w14:paraId="3C0154ED" w14:textId="2D0729D0" w:rsidR="00BE519A" w:rsidRDefault="00BE519A" w:rsidP="00BE519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 Medieval Britain – What </w:t>
            </w:r>
            <w:r>
              <w:rPr>
                <w:rFonts w:cstheme="minorHAnsi"/>
              </w:rPr>
              <w:t>Was Britain Like by 1558?</w:t>
            </w:r>
          </w:p>
        </w:tc>
        <w:tc>
          <w:tcPr>
            <w:tcW w:w="7563" w:type="dxa"/>
            <w:vAlign w:val="center"/>
          </w:tcPr>
          <w:p w14:paraId="1A23D1D4" w14:textId="40C1AACB" w:rsidR="00BE519A" w:rsidRDefault="00BE519A" w:rsidP="00180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204-207 in Invasion, Plague and Murder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Complete the knowledge and understanding questions on page 205. Then complete the blue question box on page 207 and then the change and continuity questions on page 207.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14:paraId="6B3581A9" w14:textId="7FFE8AA3" w:rsidR="00BE519A" w:rsidRDefault="00BE519A" w:rsidP="00BE51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pages </w:t>
            </w:r>
            <w:r>
              <w:rPr>
                <w:rFonts w:cstheme="minorHAnsi"/>
              </w:rPr>
              <w:t>208-211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</w:tbl>
    <w:p w14:paraId="29DEA4D5" w14:textId="2F0907D1" w:rsidR="001109B4" w:rsidRPr="001109B4" w:rsidRDefault="001109B4" w:rsidP="00D1327E"/>
    <w:sectPr w:rsidR="001109B4" w:rsidRPr="001109B4" w:rsidSect="00A60B4D">
      <w:pgSz w:w="16840" w:h="11900" w:orient="landscape"/>
      <w:pgMar w:top="426" w:right="96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EC6"/>
    <w:multiLevelType w:val="hybridMultilevel"/>
    <w:tmpl w:val="9D9E4084"/>
    <w:lvl w:ilvl="0" w:tplc="7DF6C58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FB24AEB"/>
    <w:multiLevelType w:val="multilevel"/>
    <w:tmpl w:val="54722D24"/>
    <w:lvl w:ilvl="0">
      <w:start w:val="4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D25739"/>
    <w:multiLevelType w:val="multilevel"/>
    <w:tmpl w:val="C2D868F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6307"/>
    <w:multiLevelType w:val="hybridMultilevel"/>
    <w:tmpl w:val="097E72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5027"/>
    <w:multiLevelType w:val="multilevel"/>
    <w:tmpl w:val="651EAD74"/>
    <w:lvl w:ilvl="0">
      <w:start w:val="7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2E6D"/>
    <w:multiLevelType w:val="hybridMultilevel"/>
    <w:tmpl w:val="639E2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01175"/>
    <w:multiLevelType w:val="hybridMultilevel"/>
    <w:tmpl w:val="F578C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64B0D"/>
    <w:multiLevelType w:val="multilevel"/>
    <w:tmpl w:val="DA9650BC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9205A1"/>
    <w:multiLevelType w:val="hybridMultilevel"/>
    <w:tmpl w:val="1724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5159"/>
    <w:multiLevelType w:val="multilevel"/>
    <w:tmpl w:val="24A4FA4A"/>
    <w:lvl w:ilvl="0">
      <w:start w:val="4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BA3252"/>
    <w:multiLevelType w:val="multilevel"/>
    <w:tmpl w:val="3FD08FEA"/>
    <w:lvl w:ilvl="0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9"/>
  </w:num>
  <w:num w:numId="4">
    <w:abstractNumId w:val="4"/>
  </w:num>
  <w:num w:numId="5">
    <w:abstractNumId w:val="28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9"/>
  </w:num>
  <w:num w:numId="13">
    <w:abstractNumId w:val="20"/>
  </w:num>
  <w:num w:numId="14">
    <w:abstractNumId w:val="11"/>
  </w:num>
  <w:num w:numId="15">
    <w:abstractNumId w:val="5"/>
  </w:num>
  <w:num w:numId="16">
    <w:abstractNumId w:val="21"/>
  </w:num>
  <w:num w:numId="17">
    <w:abstractNumId w:val="29"/>
  </w:num>
  <w:num w:numId="18">
    <w:abstractNumId w:val="2"/>
  </w:num>
  <w:num w:numId="19">
    <w:abstractNumId w:val="6"/>
  </w:num>
  <w:num w:numId="20">
    <w:abstractNumId w:val="26"/>
  </w:num>
  <w:num w:numId="21">
    <w:abstractNumId w:val="18"/>
  </w:num>
  <w:num w:numId="22">
    <w:abstractNumId w:val="17"/>
  </w:num>
  <w:num w:numId="23">
    <w:abstractNumId w:val="23"/>
  </w:num>
  <w:num w:numId="24">
    <w:abstractNumId w:val="24"/>
  </w:num>
  <w:num w:numId="25">
    <w:abstractNumId w:val="25"/>
  </w:num>
  <w:num w:numId="26">
    <w:abstractNumId w:val="8"/>
  </w:num>
  <w:num w:numId="27">
    <w:abstractNumId w:val="15"/>
  </w:num>
  <w:num w:numId="28">
    <w:abstractNumId w:val="22"/>
  </w:num>
  <w:num w:numId="29">
    <w:abstractNumId w:val="13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14ECF"/>
    <w:rsid w:val="000213F5"/>
    <w:rsid w:val="0008199C"/>
    <w:rsid w:val="000B45DB"/>
    <w:rsid w:val="000C4BD3"/>
    <w:rsid w:val="000E39F5"/>
    <w:rsid w:val="000F47BA"/>
    <w:rsid w:val="001075D6"/>
    <w:rsid w:val="001109B4"/>
    <w:rsid w:val="001808E8"/>
    <w:rsid w:val="001A7BEA"/>
    <w:rsid w:val="001B7792"/>
    <w:rsid w:val="001C2E85"/>
    <w:rsid w:val="001C3612"/>
    <w:rsid w:val="001C660D"/>
    <w:rsid w:val="001E0935"/>
    <w:rsid w:val="001E797D"/>
    <w:rsid w:val="002072AB"/>
    <w:rsid w:val="00257A87"/>
    <w:rsid w:val="00281930"/>
    <w:rsid w:val="00281EC4"/>
    <w:rsid w:val="002C5535"/>
    <w:rsid w:val="002F7129"/>
    <w:rsid w:val="003804C7"/>
    <w:rsid w:val="003A38E9"/>
    <w:rsid w:val="003B0916"/>
    <w:rsid w:val="00432E87"/>
    <w:rsid w:val="00443595"/>
    <w:rsid w:val="0048182C"/>
    <w:rsid w:val="004B682C"/>
    <w:rsid w:val="005365FB"/>
    <w:rsid w:val="005B32EB"/>
    <w:rsid w:val="00641B9D"/>
    <w:rsid w:val="00655553"/>
    <w:rsid w:val="00663014"/>
    <w:rsid w:val="00663CEA"/>
    <w:rsid w:val="00672DFE"/>
    <w:rsid w:val="00691FD3"/>
    <w:rsid w:val="00692ADC"/>
    <w:rsid w:val="006D2906"/>
    <w:rsid w:val="006D7F06"/>
    <w:rsid w:val="006F0556"/>
    <w:rsid w:val="006F4132"/>
    <w:rsid w:val="006F4D64"/>
    <w:rsid w:val="00702D6B"/>
    <w:rsid w:val="0072687D"/>
    <w:rsid w:val="007A3CA6"/>
    <w:rsid w:val="007C1D88"/>
    <w:rsid w:val="007D5244"/>
    <w:rsid w:val="007F5F2B"/>
    <w:rsid w:val="00815B53"/>
    <w:rsid w:val="00817427"/>
    <w:rsid w:val="00837992"/>
    <w:rsid w:val="008443D9"/>
    <w:rsid w:val="0086740C"/>
    <w:rsid w:val="00876C52"/>
    <w:rsid w:val="00897420"/>
    <w:rsid w:val="00905E07"/>
    <w:rsid w:val="009374E9"/>
    <w:rsid w:val="00953D2F"/>
    <w:rsid w:val="00967E32"/>
    <w:rsid w:val="00976AB2"/>
    <w:rsid w:val="00A00F84"/>
    <w:rsid w:val="00A15DD3"/>
    <w:rsid w:val="00A60B4D"/>
    <w:rsid w:val="00A920BE"/>
    <w:rsid w:val="00AB3FF1"/>
    <w:rsid w:val="00B07ECF"/>
    <w:rsid w:val="00B36351"/>
    <w:rsid w:val="00B624AB"/>
    <w:rsid w:val="00B83665"/>
    <w:rsid w:val="00BE1C92"/>
    <w:rsid w:val="00BE519A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10664"/>
    <w:rsid w:val="00D1327E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0174"/>
    <w:rsid w:val="00F64B7C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.uk/bitesize/secondar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boodl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ans@cirencesterkingshill.glouc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enecalearning.com/courses?Price=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B9C6-C736-4645-9FAB-DA385ED9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12</cp:revision>
  <dcterms:created xsi:type="dcterms:W3CDTF">2021-09-10T20:10:00Z</dcterms:created>
  <dcterms:modified xsi:type="dcterms:W3CDTF">2022-06-06T08:33:00Z</dcterms:modified>
</cp:coreProperties>
</file>