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11B0A9D8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5369B7">
        <w:rPr>
          <w:b/>
          <w:bCs/>
          <w:color w:val="BF8F00" w:themeColor="accent4" w:themeShade="BF"/>
          <w:sz w:val="40"/>
          <w:szCs w:val="40"/>
        </w:rPr>
        <w:t>TERM 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E91A819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259E15ED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EB2E82">
        <w:rPr>
          <w:b/>
          <w:u w:val="single"/>
        </w:rPr>
        <w:t>found on</w:t>
      </w:r>
      <w:r w:rsidR="005369B7">
        <w:rPr>
          <w:b/>
          <w:u w:val="single"/>
        </w:rPr>
        <w:t xml:space="preserve"> pages 94-95</w:t>
      </w:r>
      <w:r w:rsidR="00A76737" w:rsidRPr="00EB2E82">
        <w:rPr>
          <w:b/>
          <w:u w:val="single"/>
        </w:rPr>
        <w:t xml:space="preserve"> </w:t>
      </w:r>
      <w:r w:rsidR="00B17F76" w:rsidRPr="00EB2E82">
        <w:rPr>
          <w:b/>
          <w:u w:val="single"/>
        </w:rPr>
        <w:t>and also in the pupil work area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</w:t>
      </w:r>
      <w:r w:rsidR="00B241DD">
        <w:t>the Quizlet</w:t>
      </w:r>
      <w:r w:rsidR="00984C9A">
        <w:t xml:space="preserve"> websites.</w:t>
      </w:r>
    </w:p>
    <w:p w14:paraId="5E0C2A26" w14:textId="62469B68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3A5CD2">
        <w:t xml:space="preserve">set on SMH or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6A07F9C0" w:rsidR="0050241D" w:rsidRPr="00D5583B" w:rsidRDefault="00D1498F">
            <w:pPr>
              <w:rPr>
                <w:b/>
                <w:bCs/>
              </w:rPr>
            </w:pPr>
            <w:r>
              <w:rPr>
                <w:b/>
                <w:bCs/>
              </w:rPr>
              <w:t>(Studio</w:t>
            </w:r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EB2E82">
              <w:rPr>
                <w:b/>
                <w:bCs/>
              </w:rPr>
              <w:t xml:space="preserve">apter </w:t>
            </w:r>
            <w:r w:rsidR="00BA4A6B">
              <w:rPr>
                <w:b/>
                <w:bCs/>
              </w:rPr>
              <w:t>4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  <w:bookmarkStart w:id="0" w:name="_GoBack"/>
        <w:bookmarkEnd w:id="0"/>
      </w:tr>
      <w:tr w:rsidR="00FC078E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DBB0D52" w14:textId="77777777" w:rsidR="00FC078E" w:rsidRDefault="00FC078E" w:rsidP="00FC078E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42009E67" w14:textId="2987426E" w:rsidR="00FC078E" w:rsidRDefault="00FC078E" w:rsidP="00FC078E"/>
        </w:tc>
        <w:tc>
          <w:tcPr>
            <w:tcW w:w="4820" w:type="dxa"/>
          </w:tcPr>
          <w:p w14:paraId="0139536E" w14:textId="77777777" w:rsidR="00FC078E" w:rsidRDefault="00FC078E" w:rsidP="00FC078E">
            <w:pPr>
              <w:rPr>
                <w:rFonts w:ascii="Arial" w:hAnsi="Arial" w:cs="Arial"/>
                <w:b/>
                <w:sz w:val="20"/>
              </w:rPr>
            </w:pPr>
            <w:r w:rsidRPr="00FC078E">
              <w:rPr>
                <w:rFonts w:ascii="Arial" w:hAnsi="Arial" w:cs="Arial"/>
                <w:b/>
                <w:sz w:val="20"/>
              </w:rPr>
              <w:t xml:space="preserve">Point de </w:t>
            </w:r>
            <w:proofErr w:type="spellStart"/>
            <w:r w:rsidRPr="00FC078E">
              <w:rPr>
                <w:rFonts w:ascii="Arial" w:hAnsi="Arial" w:cs="Arial"/>
                <w:b/>
                <w:sz w:val="20"/>
              </w:rPr>
              <w:t>départ</w:t>
            </w:r>
            <w:proofErr w:type="spellEnd"/>
            <w:r w:rsidRPr="00FC078E">
              <w:rPr>
                <w:rFonts w:ascii="Arial" w:hAnsi="Arial" w:cs="Arial"/>
                <w:b/>
                <w:sz w:val="20"/>
              </w:rPr>
              <w:t xml:space="preserve"> 1 / 2 - De </w:t>
            </w:r>
            <w:proofErr w:type="spellStart"/>
            <w:r w:rsidRPr="00FC078E">
              <w:rPr>
                <w:rFonts w:ascii="Arial" w:hAnsi="Arial" w:cs="Arial"/>
                <w:b/>
                <w:sz w:val="20"/>
              </w:rPr>
              <w:t>ville</w:t>
            </w:r>
            <w:proofErr w:type="spellEnd"/>
            <w:r w:rsidRPr="00FC078E">
              <w:rPr>
                <w:rFonts w:ascii="Arial" w:hAnsi="Arial" w:cs="Arial"/>
                <w:b/>
                <w:sz w:val="20"/>
              </w:rPr>
              <w:t xml:space="preserve"> à la </w:t>
            </w:r>
            <w:proofErr w:type="spellStart"/>
            <w:r w:rsidRPr="00FC078E">
              <w:rPr>
                <w:rFonts w:ascii="Arial" w:hAnsi="Arial" w:cs="Arial"/>
                <w:b/>
                <w:sz w:val="20"/>
              </w:rPr>
              <w:t>campagne</w:t>
            </w:r>
            <w:proofErr w:type="spellEnd"/>
          </w:p>
          <w:p w14:paraId="41C8F396" w14:textId="17B25031" w:rsidR="00FC078E" w:rsidRPr="005E766A" w:rsidRDefault="00FC078E" w:rsidP="00FC07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sz w:val="20"/>
                <w:szCs w:val="20"/>
              </w:rPr>
              <w:t>Talking about where you live, weather and transport. Asking for directions.</w:t>
            </w:r>
          </w:p>
        </w:tc>
        <w:tc>
          <w:tcPr>
            <w:tcW w:w="3118" w:type="dxa"/>
          </w:tcPr>
          <w:p w14:paraId="25C497C4" w14:textId="1B6A936A" w:rsidR="00FC078E" w:rsidRPr="00CB5C5E" w:rsidRDefault="00FC078E" w:rsidP="00FC078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P74-77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FC078E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BFB06F7" w14:textId="77777777" w:rsidR="00FC078E" w:rsidRDefault="00FC078E" w:rsidP="00FC078E">
            <w:r>
              <w:t>7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D383911" w14:textId="20CE172C" w:rsidR="00FC078E" w:rsidRDefault="00FC078E" w:rsidP="00FC078E"/>
        </w:tc>
        <w:tc>
          <w:tcPr>
            <w:tcW w:w="4820" w:type="dxa"/>
          </w:tcPr>
          <w:p w14:paraId="58EBD478" w14:textId="77777777" w:rsidR="00FC078E" w:rsidRDefault="00FC078E" w:rsidP="00FC07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région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est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top</w:t>
            </w:r>
          </w:p>
          <w:p w14:paraId="44EAFD9C" w14:textId="6403D3EF" w:rsidR="00FC078E" w:rsidRPr="0087025D" w:rsidRDefault="00FC078E" w:rsidP="00FC07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sz w:val="20"/>
                <w:szCs w:val="20"/>
              </w:rPr>
              <w:t xml:space="preserve">Describing a region, using the </w:t>
            </w:r>
            <w:proofErr w:type="spellStart"/>
            <w:r w:rsidRPr="00FC078E">
              <w:rPr>
                <w:rFonts w:ascii="Arial" w:hAnsi="Arial" w:cs="Arial"/>
                <w:bCs/>
                <w:sz w:val="20"/>
                <w:szCs w:val="20"/>
              </w:rPr>
              <w:t>proboun</w:t>
            </w:r>
            <w:proofErr w:type="spellEnd"/>
            <w:r w:rsidRPr="00FC078E">
              <w:rPr>
                <w:rFonts w:ascii="Arial" w:hAnsi="Arial" w:cs="Arial"/>
                <w:bCs/>
                <w:sz w:val="20"/>
                <w:szCs w:val="20"/>
              </w:rPr>
              <w:t xml:space="preserve"> 'y'.</w:t>
            </w:r>
          </w:p>
        </w:tc>
        <w:tc>
          <w:tcPr>
            <w:tcW w:w="3118" w:type="dxa"/>
          </w:tcPr>
          <w:p w14:paraId="4B94D5A5" w14:textId="7E41BC9F" w:rsidR="00FC078E" w:rsidRPr="00CB5C5E" w:rsidRDefault="00FC078E" w:rsidP="00FC07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P78-79</w:t>
            </w:r>
          </w:p>
        </w:tc>
      </w:tr>
      <w:tr w:rsidR="00FC078E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846F518" w14:textId="77777777" w:rsidR="00FC078E" w:rsidRDefault="00FC078E" w:rsidP="00FC078E">
            <w:r>
              <w:t>14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5FB0818" w14:textId="2168F781" w:rsidR="00FC078E" w:rsidRDefault="00FC078E" w:rsidP="00FC078E"/>
        </w:tc>
        <w:tc>
          <w:tcPr>
            <w:tcW w:w="4820" w:type="dxa"/>
          </w:tcPr>
          <w:p w14:paraId="393B0182" w14:textId="77777777" w:rsidR="00FC078E" w:rsidRDefault="00FC078E" w:rsidP="00FC07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Ville de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rêve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ville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cauchmar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49F31CB" w14:textId="2A6F0E79" w:rsidR="00FC078E" w:rsidRPr="0087025D" w:rsidRDefault="00FC078E" w:rsidP="00FC07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sz w:val="20"/>
                <w:szCs w:val="20"/>
              </w:rPr>
              <w:t>Talking about your town, village or district, using negatives.</w:t>
            </w:r>
          </w:p>
        </w:tc>
        <w:tc>
          <w:tcPr>
            <w:tcW w:w="3118" w:type="dxa"/>
          </w:tcPr>
          <w:p w14:paraId="53128261" w14:textId="42FE2920" w:rsidR="00FC078E" w:rsidRPr="00CB5C5E" w:rsidRDefault="00FC078E" w:rsidP="00FC07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P80-81</w:t>
            </w:r>
          </w:p>
        </w:tc>
      </w:tr>
      <w:tr w:rsidR="00FC078E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5355883" w14:textId="77777777" w:rsidR="00FC078E" w:rsidRDefault="00FC078E" w:rsidP="00FC078E">
            <w:r>
              <w:t>21</w:t>
            </w:r>
            <w:r w:rsidRPr="00B5645F">
              <w:rPr>
                <w:vertAlign w:val="superscript"/>
              </w:rPr>
              <w:t>st</w:t>
            </w:r>
            <w:r>
              <w:t xml:space="preserve"> March</w:t>
            </w:r>
          </w:p>
          <w:p w14:paraId="4B99056E" w14:textId="25FFAF4C" w:rsidR="00FC078E" w:rsidRDefault="00FC078E" w:rsidP="00FC078E"/>
        </w:tc>
        <w:tc>
          <w:tcPr>
            <w:tcW w:w="4820" w:type="dxa"/>
          </w:tcPr>
          <w:p w14:paraId="66D72AE4" w14:textId="77777777" w:rsidR="00FC078E" w:rsidRDefault="00FC078E" w:rsidP="00FC07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C'est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pour un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renseignement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  <w:p w14:paraId="1299C43A" w14:textId="6D099852" w:rsidR="00FC078E" w:rsidRPr="0087025D" w:rsidRDefault="00FC078E" w:rsidP="00FC078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Discussing what to see and do, asking questions.</w:t>
            </w:r>
          </w:p>
        </w:tc>
        <w:tc>
          <w:tcPr>
            <w:tcW w:w="3118" w:type="dxa"/>
          </w:tcPr>
          <w:p w14:paraId="4DDBEF00" w14:textId="4CC24CFD" w:rsidR="00FC078E" w:rsidRPr="00CB5C5E" w:rsidRDefault="00FC078E" w:rsidP="00FC07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P82-83</w:t>
            </w:r>
          </w:p>
        </w:tc>
      </w:tr>
      <w:tr w:rsidR="00FC078E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A91554F" w14:textId="77777777" w:rsidR="00FC078E" w:rsidRDefault="00FC078E" w:rsidP="00FC078E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FB78278" w14:textId="0BF0E1AB" w:rsidR="00FC078E" w:rsidRDefault="00FC078E" w:rsidP="00FC078E"/>
        </w:tc>
        <w:tc>
          <w:tcPr>
            <w:tcW w:w="4820" w:type="dxa"/>
          </w:tcPr>
          <w:p w14:paraId="79B64C46" w14:textId="77777777" w:rsidR="00FC078E" w:rsidRDefault="00FC078E" w:rsidP="00FC07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 </w:t>
            </w:r>
            <w:proofErr w:type="spellStart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fera</w:t>
            </w:r>
            <w:proofErr w:type="spellEnd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beau </w:t>
            </w:r>
            <w:proofErr w:type="spellStart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demain</w:t>
            </w:r>
            <w:proofErr w:type="spellEnd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pleine</w:t>
            </w:r>
            <w:proofErr w:type="spellEnd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action</w:t>
            </w:r>
          </w:p>
          <w:p w14:paraId="1FC39945" w14:textId="52E70E2D" w:rsidR="00FC078E" w:rsidRPr="0087025D" w:rsidRDefault="00FC078E" w:rsidP="00FC078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Discussing plans and the weather, using the future tense, describing community projects</w:t>
            </w:r>
          </w:p>
        </w:tc>
        <w:tc>
          <w:tcPr>
            <w:tcW w:w="3118" w:type="dxa"/>
          </w:tcPr>
          <w:p w14:paraId="0562CB0E" w14:textId="78263D3F" w:rsidR="00FC078E" w:rsidRPr="00CB5C5E" w:rsidRDefault="00FC078E" w:rsidP="00FC07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P84-87</w:t>
            </w:r>
          </w:p>
        </w:tc>
      </w:tr>
      <w:tr w:rsidR="00FC078E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482889E" w14:textId="77777777" w:rsidR="00FC078E" w:rsidRDefault="00FC078E" w:rsidP="00FC078E">
            <w:r>
              <w:t>4</w:t>
            </w:r>
            <w:r w:rsidRPr="00B5645F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6D98A12B" w14:textId="09770678" w:rsidR="00FC078E" w:rsidRDefault="00FC078E" w:rsidP="00FC078E"/>
        </w:tc>
        <w:tc>
          <w:tcPr>
            <w:tcW w:w="4820" w:type="dxa"/>
          </w:tcPr>
          <w:p w14:paraId="3694C016" w14:textId="77777777" w:rsidR="00FC078E" w:rsidRDefault="00FC078E" w:rsidP="00FC07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week</w:t>
            </w:r>
          </w:p>
          <w:p w14:paraId="2946DB82" w14:textId="4072BFDA" w:rsidR="00FC078E" w:rsidRPr="0087025D" w:rsidRDefault="00FC078E" w:rsidP="00FC07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sz w:val="20"/>
                <w:szCs w:val="20"/>
              </w:rPr>
              <w:t>Do end of module 4 assessments in listening, reading and writing.</w:t>
            </w:r>
          </w:p>
        </w:tc>
        <w:tc>
          <w:tcPr>
            <w:tcW w:w="3118" w:type="dxa"/>
          </w:tcPr>
          <w:p w14:paraId="5997CC1D" w14:textId="17916351" w:rsidR="00FC078E" w:rsidRDefault="00FC078E" w:rsidP="00FC078E">
            <w:r>
              <w:rPr>
                <w:rFonts w:ascii="Arial" w:hAnsi="Arial" w:cs="Arial"/>
                <w:sz w:val="20"/>
              </w:rPr>
              <w:t>Contact Mrs Millar or Mrs Brown for assessment materials.</w:t>
            </w:r>
          </w:p>
        </w:tc>
      </w:tr>
    </w:tbl>
    <w:p w14:paraId="6B699379" w14:textId="64C20C59" w:rsidR="003C03F3" w:rsidRDefault="003C03F3"/>
    <w:p w14:paraId="0FA3EB29" w14:textId="77777777" w:rsidR="008F48C5" w:rsidRDefault="008F48C5"/>
    <w:p w14:paraId="7CAEB20F" w14:textId="1DABBDA3" w:rsidR="00FC078E" w:rsidRPr="00FC078E" w:rsidRDefault="00FC078E" w:rsidP="00FC078E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FC078E">
        <w:rPr>
          <w:rFonts w:ascii="Comic Sans MS" w:hAnsi="Comic Sans MS"/>
          <w:b/>
          <w:noProof/>
          <w:sz w:val="20"/>
          <w:szCs w:val="20"/>
          <w:lang w:eastAsia="en-GB"/>
        </w:rPr>
        <w:t>Module 4 Questions Foundation</w:t>
      </w:r>
    </w:p>
    <w:p w14:paraId="54F1E275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</w:t>
      </w:r>
      <w:r>
        <w:rPr>
          <w:rFonts w:ascii="Comic Sans MS" w:hAnsi="Comic Sans MS"/>
          <w:noProof/>
          <w:sz w:val="20"/>
          <w:szCs w:val="20"/>
          <w:lang w:eastAsia="en-GB"/>
        </w:rPr>
        <w:t>0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Où habites-tu?</w:t>
      </w:r>
    </w:p>
    <w:p w14:paraId="5E8989D4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11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Qu’est-ce qu’on peut faire dans ta région?</w:t>
      </w:r>
    </w:p>
    <w:p w14:paraId="5D79765C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</w:t>
      </w:r>
      <w:r>
        <w:rPr>
          <w:rFonts w:ascii="Comic Sans MS" w:hAnsi="Comic Sans MS"/>
          <w:noProof/>
          <w:sz w:val="20"/>
          <w:szCs w:val="20"/>
          <w:lang w:eastAsia="en-GB"/>
        </w:rPr>
        <w:t>2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Que feras tu ce weekend?</w:t>
      </w:r>
    </w:p>
    <w:p w14:paraId="17BE9A4A" w14:textId="77777777" w:rsidR="00FC078E" w:rsidRDefault="00FC078E"/>
    <w:p w14:paraId="3F382959" w14:textId="77777777" w:rsidR="00FC078E" w:rsidRPr="0074475A" w:rsidRDefault="00FC078E" w:rsidP="00FC078E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4 Questions</w:t>
      </w:r>
    </w:p>
    <w:p w14:paraId="68971A7D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13 – Où habites-tu?</w:t>
      </w:r>
    </w:p>
    <w:p w14:paraId="07E0217A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14 – Qu’est-ce qu’on peut faire dans ta région?</w:t>
      </w:r>
    </w:p>
    <w:p w14:paraId="3C7106A9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15 – Qu’est-ce que tu aimerais changer dans ta ville? Pourquoi?</w:t>
      </w:r>
    </w:p>
    <w:p w14:paraId="6096C8A4" w14:textId="7F4D06D1" w:rsidR="00FC078E" w:rsidRPr="00FC078E" w:rsidRDefault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16 – Que feras tu ce weekend?</w:t>
      </w:r>
    </w:p>
    <w:sectPr w:rsidR="00FC078E" w:rsidRPr="00FC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C1B18"/>
    <w:rsid w:val="001D50FE"/>
    <w:rsid w:val="00221DC5"/>
    <w:rsid w:val="00227A58"/>
    <w:rsid w:val="0025772F"/>
    <w:rsid w:val="00292983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5CD2"/>
    <w:rsid w:val="003C03F3"/>
    <w:rsid w:val="003D012E"/>
    <w:rsid w:val="003E73F2"/>
    <w:rsid w:val="0045451B"/>
    <w:rsid w:val="004A0040"/>
    <w:rsid w:val="004A4C21"/>
    <w:rsid w:val="004F1639"/>
    <w:rsid w:val="0050241D"/>
    <w:rsid w:val="005300A2"/>
    <w:rsid w:val="005369B7"/>
    <w:rsid w:val="0053787A"/>
    <w:rsid w:val="00547AC3"/>
    <w:rsid w:val="00585106"/>
    <w:rsid w:val="00585B0E"/>
    <w:rsid w:val="005E766A"/>
    <w:rsid w:val="005F64D0"/>
    <w:rsid w:val="00613305"/>
    <w:rsid w:val="00615F5C"/>
    <w:rsid w:val="00636821"/>
    <w:rsid w:val="006826E4"/>
    <w:rsid w:val="006D41D7"/>
    <w:rsid w:val="0070113E"/>
    <w:rsid w:val="00722BA9"/>
    <w:rsid w:val="00723448"/>
    <w:rsid w:val="00754BBB"/>
    <w:rsid w:val="00757E7B"/>
    <w:rsid w:val="00767BA0"/>
    <w:rsid w:val="007D4C16"/>
    <w:rsid w:val="008159C4"/>
    <w:rsid w:val="0083252E"/>
    <w:rsid w:val="0086270F"/>
    <w:rsid w:val="0087025D"/>
    <w:rsid w:val="00871B5A"/>
    <w:rsid w:val="0089684E"/>
    <w:rsid w:val="008C3B69"/>
    <w:rsid w:val="008F48C5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17F76"/>
    <w:rsid w:val="00B241DD"/>
    <w:rsid w:val="00B361C4"/>
    <w:rsid w:val="00B40202"/>
    <w:rsid w:val="00B62A17"/>
    <w:rsid w:val="00B906FD"/>
    <w:rsid w:val="00B95003"/>
    <w:rsid w:val="00BA0DB3"/>
    <w:rsid w:val="00BA4A6B"/>
    <w:rsid w:val="00BB0474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B5C5E"/>
    <w:rsid w:val="00CD6729"/>
    <w:rsid w:val="00CD6DB0"/>
    <w:rsid w:val="00D1498F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10F0"/>
    <w:rsid w:val="00DE7D5C"/>
    <w:rsid w:val="00DF161F"/>
    <w:rsid w:val="00DF389E"/>
    <w:rsid w:val="00E4740A"/>
    <w:rsid w:val="00E500DF"/>
    <w:rsid w:val="00E541B8"/>
    <w:rsid w:val="00EA7035"/>
    <w:rsid w:val="00EB23BD"/>
    <w:rsid w:val="00EB2E82"/>
    <w:rsid w:val="00EB6C32"/>
    <w:rsid w:val="00EE4258"/>
    <w:rsid w:val="00EF1A5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C078E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5</cp:revision>
  <dcterms:created xsi:type="dcterms:W3CDTF">2022-01-07T10:05:00Z</dcterms:created>
  <dcterms:modified xsi:type="dcterms:W3CDTF">2022-01-31T15:38:00Z</dcterms:modified>
</cp:coreProperties>
</file>