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1B" w:rsidRPr="00FB4623" w:rsidRDefault="00003D83" w:rsidP="00DE1D93">
      <w:pPr>
        <w:jc w:val="center"/>
        <w:rPr>
          <w:b/>
          <w:color w:val="1F3864" w:themeColor="accent5" w:themeShade="80"/>
          <w:sz w:val="48"/>
          <w:lang w:val="en-US"/>
        </w:rPr>
      </w:pPr>
      <w:r w:rsidRPr="00FB4623">
        <w:rPr>
          <w:b/>
          <w:noProof/>
          <w:color w:val="1F3864" w:themeColor="accent5" w:themeShade="80"/>
          <w:sz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170816</wp:posOffset>
            </wp:positionV>
            <wp:extent cx="1724025" cy="2647950"/>
            <wp:effectExtent l="285750" t="171450" r="257175" b="171450"/>
            <wp:wrapTight wrapText="bothSides">
              <wp:wrapPolygon edited="0">
                <wp:start x="-568" y="-45"/>
                <wp:lineTo x="-381" y="2635"/>
                <wp:lineTo x="-1313" y="2771"/>
                <wp:lineTo x="-479" y="5197"/>
                <wp:lineTo x="-1411" y="5333"/>
                <wp:lineTo x="-443" y="10287"/>
                <wp:lineTo x="-1375" y="10423"/>
                <wp:lineTo x="-406" y="15378"/>
                <wp:lineTo x="-1338" y="15513"/>
                <wp:lineTo x="-505" y="17940"/>
                <wp:lineTo x="-1436" y="18075"/>
                <wp:lineTo x="-499" y="20805"/>
                <wp:lineTo x="9314" y="21605"/>
                <wp:lineTo x="20084" y="21630"/>
                <wp:lineTo x="20369" y="21747"/>
                <wp:lineTo x="21766" y="21544"/>
                <wp:lineTo x="21881" y="1941"/>
                <wp:lineTo x="18771" y="6"/>
                <wp:lineTo x="18406" y="-1056"/>
                <wp:lineTo x="6938" y="-978"/>
                <wp:lineTo x="830" y="-248"/>
                <wp:lineTo x="-568" y="-45"/>
              </wp:wrapPolygon>
            </wp:wrapTight>
            <wp:docPr id="2" name="Picture 2" descr="C:\Users\jdecarles\AppData\Local\Microsoft\Windows\INetCache\Content.MSO\F2F5D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ecarles\AppData\Local\Microsoft\Windows\INetCache\Content.MSO\F2F5D2D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6361"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D93" w:rsidRPr="00FB4623">
        <w:rPr>
          <w:b/>
          <w:color w:val="1F3864" w:themeColor="accent5" w:themeShade="80"/>
          <w:sz w:val="48"/>
          <w:lang w:val="en-US"/>
        </w:rPr>
        <w:t>Romeo and Juliet Shadow Curriculum Guide</w:t>
      </w:r>
    </w:p>
    <w:p w:rsidR="00DE1D93" w:rsidRPr="00FB4623" w:rsidRDefault="0097127E" w:rsidP="00DE1D93">
      <w:pPr>
        <w:rPr>
          <w:color w:val="1F3864" w:themeColor="accent5" w:themeShade="80"/>
          <w:sz w:val="24"/>
          <w:lang w:val="en-US"/>
        </w:rPr>
      </w:pPr>
      <w:r w:rsidRPr="00FB4623">
        <w:rPr>
          <w:color w:val="1F3864" w:themeColor="accent5" w:themeShade="80"/>
          <w:sz w:val="24"/>
          <w:lang w:val="en-US"/>
        </w:rPr>
        <w:t xml:space="preserve">Once you have finished </w:t>
      </w:r>
      <w:r w:rsidR="00FB4623" w:rsidRPr="00FB4623">
        <w:rPr>
          <w:color w:val="1F3864" w:themeColor="accent5" w:themeShade="80"/>
          <w:sz w:val="24"/>
          <w:lang w:val="en-US"/>
        </w:rPr>
        <w:t>‘</w:t>
      </w:r>
      <w:proofErr w:type="spellStart"/>
      <w:r w:rsidRPr="00FB4623">
        <w:rPr>
          <w:color w:val="1F3864" w:themeColor="accent5" w:themeShade="80"/>
          <w:sz w:val="24"/>
          <w:lang w:val="en-US"/>
        </w:rPr>
        <w:t>Noughts</w:t>
      </w:r>
      <w:proofErr w:type="spellEnd"/>
      <w:r w:rsidRPr="00FB4623">
        <w:rPr>
          <w:color w:val="1F3864" w:themeColor="accent5" w:themeShade="80"/>
          <w:sz w:val="24"/>
          <w:lang w:val="en-US"/>
        </w:rPr>
        <w:t xml:space="preserve"> and Crosses</w:t>
      </w:r>
      <w:r w:rsidR="00FB4623" w:rsidRPr="00FB4623">
        <w:rPr>
          <w:color w:val="1F3864" w:themeColor="accent5" w:themeShade="80"/>
          <w:sz w:val="24"/>
          <w:lang w:val="en-US"/>
        </w:rPr>
        <w:t>’</w:t>
      </w:r>
      <w:r w:rsidRPr="00FB4623">
        <w:rPr>
          <w:color w:val="1F3864" w:themeColor="accent5" w:themeShade="80"/>
          <w:sz w:val="24"/>
          <w:lang w:val="en-US"/>
        </w:rPr>
        <w:t xml:space="preserve"> you will be going onto the ‘Power and Relationships</w:t>
      </w:r>
      <w:r w:rsidR="00FB4623" w:rsidRPr="00FB4623">
        <w:rPr>
          <w:color w:val="1F3864" w:themeColor="accent5" w:themeShade="80"/>
          <w:sz w:val="24"/>
          <w:lang w:val="en-US"/>
        </w:rPr>
        <w:t>’</w:t>
      </w:r>
      <w:r w:rsidRPr="00FB4623">
        <w:rPr>
          <w:color w:val="1F3864" w:themeColor="accent5" w:themeShade="80"/>
          <w:sz w:val="24"/>
          <w:lang w:val="en-US"/>
        </w:rPr>
        <w:t xml:space="preserve"> (Romeo and Juliet) topic of work. You may also be doing a smaller topic as well as this if you have two teachers.</w:t>
      </w:r>
    </w:p>
    <w:p w:rsidR="00FB4623" w:rsidRPr="00003D83" w:rsidRDefault="00FB4623" w:rsidP="00FB4623">
      <w:pPr>
        <w:pStyle w:val="ListParagraph"/>
        <w:numPr>
          <w:ilvl w:val="0"/>
          <w:numId w:val="1"/>
        </w:numPr>
        <w:rPr>
          <w:i/>
          <w:color w:val="002060"/>
          <w:sz w:val="24"/>
          <w:lang w:val="en-US"/>
        </w:rPr>
      </w:pPr>
      <w:r w:rsidRPr="00003D83">
        <w:rPr>
          <w:i/>
          <w:color w:val="002060"/>
          <w:sz w:val="24"/>
          <w:lang w:val="en-US"/>
        </w:rPr>
        <w:t>If you feel you need to get the hang of the plot before you complete work, copy the following link into your web browser</w:t>
      </w:r>
      <w:bookmarkStart w:id="0" w:name="_GoBack"/>
      <w:bookmarkEnd w:id="0"/>
      <w:r w:rsidRPr="00003D83">
        <w:rPr>
          <w:i/>
          <w:color w:val="002060"/>
          <w:sz w:val="24"/>
          <w:lang w:val="en-US"/>
        </w:rPr>
        <w:t xml:space="preserve"> for a useful Royal Shakespeare Company plot summary. You may also want to watch a version of ‘Romeo and Juliet’ – have a look on </w:t>
      </w:r>
      <w:proofErr w:type="spellStart"/>
      <w:r w:rsidRPr="00003D83">
        <w:rPr>
          <w:i/>
          <w:color w:val="002060"/>
          <w:sz w:val="24"/>
          <w:lang w:val="en-US"/>
        </w:rPr>
        <w:t>ClickView</w:t>
      </w:r>
      <w:proofErr w:type="spellEnd"/>
      <w:r w:rsidRPr="00003D83">
        <w:rPr>
          <w:i/>
          <w:color w:val="002060"/>
          <w:sz w:val="24"/>
          <w:lang w:val="en-US"/>
        </w:rPr>
        <w:t>.</w:t>
      </w:r>
    </w:p>
    <w:p w:rsidR="00003D83" w:rsidRPr="00003D83" w:rsidRDefault="00003D83" w:rsidP="00003D83">
      <w:pPr>
        <w:pStyle w:val="ListParagraph"/>
        <w:numPr>
          <w:ilvl w:val="0"/>
          <w:numId w:val="1"/>
        </w:numPr>
        <w:rPr>
          <w:color w:val="0070C0"/>
          <w:sz w:val="24"/>
          <w:lang w:val="en-US"/>
        </w:rPr>
      </w:pPr>
      <w:hyperlink r:id="rId6" w:history="1">
        <w:r w:rsidRPr="00003D83">
          <w:rPr>
            <w:rStyle w:val="Hyperlink"/>
            <w:sz w:val="24"/>
            <w:lang w:val="en-US"/>
          </w:rPr>
          <w:t>https://www.rsc.org.uk/shakespeare-learning-zone/romeo-and-juliet/story/scene-by-scene#:~:text=Act%201%20Scene%201,Tybalt%20arrives%20things%20get%20worse</w:t>
        </w:r>
      </w:hyperlink>
      <w:r w:rsidRPr="00003D83">
        <w:rPr>
          <w:color w:val="0070C0"/>
          <w:sz w:val="24"/>
          <w:lang w:val="en-US"/>
        </w:rPr>
        <w:t>.</w:t>
      </w:r>
    </w:p>
    <w:p w:rsidR="00003D83" w:rsidRPr="00FB4623" w:rsidRDefault="00003D83" w:rsidP="00003D83">
      <w:pPr>
        <w:pStyle w:val="ListParagraph"/>
        <w:rPr>
          <w:i/>
          <w:color w:val="0070C0"/>
          <w:sz w:val="24"/>
          <w:lang w:val="en-US"/>
        </w:rPr>
      </w:pPr>
    </w:p>
    <w:p w:rsidR="0097127E" w:rsidRPr="00FB4623" w:rsidRDefault="0097127E" w:rsidP="00FB4623">
      <w:pPr>
        <w:jc w:val="center"/>
        <w:rPr>
          <w:b/>
          <w:color w:val="002060"/>
          <w:sz w:val="28"/>
          <w:u w:val="single"/>
          <w:lang w:val="en-US"/>
        </w:rPr>
      </w:pPr>
      <w:r w:rsidRPr="00FB4623">
        <w:rPr>
          <w:b/>
          <w:color w:val="002060"/>
          <w:sz w:val="28"/>
          <w:u w:val="single"/>
          <w:lang w:val="en-US"/>
        </w:rPr>
        <w:t>Use the table below to see which link/ selection of work you need to do.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97127E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>I haven’t started anything yet!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97127E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That’s fine! Use the link for ‘Work option 1’ and complete those tasks</w:t>
            </w:r>
            <w:r w:rsidR="007F11A0" w:rsidRPr="00FB4623">
              <w:rPr>
                <w:color w:val="7030A0"/>
                <w:sz w:val="28"/>
                <w:lang w:val="en-US"/>
              </w:rPr>
              <w:t>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97127E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 xml:space="preserve">I have </w:t>
            </w:r>
            <w:r w:rsidR="00772505" w:rsidRPr="00FB4623">
              <w:rPr>
                <w:color w:val="002060"/>
                <w:sz w:val="28"/>
                <w:lang w:val="en-US"/>
              </w:rPr>
              <w:t xml:space="preserve">already </w:t>
            </w:r>
            <w:r w:rsidRPr="00FB4623">
              <w:rPr>
                <w:color w:val="002060"/>
                <w:sz w:val="28"/>
                <w:lang w:val="en-US"/>
              </w:rPr>
              <w:t>started looking at some of the characters or I know the plot but haven’t started studying</w:t>
            </w:r>
            <w:r w:rsidR="00772505" w:rsidRPr="00FB4623">
              <w:rPr>
                <w:color w:val="002060"/>
                <w:sz w:val="28"/>
                <w:lang w:val="en-US"/>
              </w:rPr>
              <w:t xml:space="preserve"> any of the script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72505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In this case it’s time to look at ‘Act 1’ – or the beginning of the play! Click on the link for ‘Romeo and Juliet 2 – Act 1’ and complete those tasks</w:t>
            </w:r>
            <w:r w:rsidR="007F11A0" w:rsidRPr="00FB4623">
              <w:rPr>
                <w:color w:val="7030A0"/>
                <w:sz w:val="28"/>
                <w:lang w:val="en-US"/>
              </w:rPr>
              <w:t>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772505" w:rsidP="00772505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>I have started to read the play but I haven’t got further than Romeo and Juliet meeting at the masked ball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72505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You’re still on Act 1! You also need to click on the link for ‘Romeo and Juliet 2 – Act 1’ and complete those tasks</w:t>
            </w:r>
            <w:r w:rsidR="007F11A0" w:rsidRPr="00FB4623">
              <w:rPr>
                <w:color w:val="7030A0"/>
                <w:sz w:val="28"/>
                <w:lang w:val="en-US"/>
              </w:rPr>
              <w:t>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772505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>I’ve gone past Romeo and Juliet meeting at the ball, in fact I’ve even heard that he’s climbed over a wall to meet her. (Act 2 covers Romeo and Juliet falling in love and the Nurse helping them to arrange a secret wedding.)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72505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If you haven’t got past the two lovebirds getting married then you’re still on Act 2! Click on the link for ‘Romeo and Juliet 3 – Act 2’ and complete the tasks</w:t>
            </w:r>
            <w:r w:rsidR="007F11A0" w:rsidRPr="00FB4623">
              <w:rPr>
                <w:color w:val="7030A0"/>
                <w:sz w:val="28"/>
                <w:lang w:val="en-US"/>
              </w:rPr>
              <w:t>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772505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 xml:space="preserve">I’ve read past them getting married. Lots of drama has kicked off now, </w:t>
            </w:r>
            <w:r w:rsidR="007F11A0" w:rsidRPr="00FB4623">
              <w:rPr>
                <w:color w:val="002060"/>
                <w:sz w:val="28"/>
                <w:lang w:val="en-US"/>
              </w:rPr>
              <w:t>this might include Tybalt committing murder, Romeo committing murder as revenge and Romeo spending the night with Juliet in secret.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F11A0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As long as you haven’t gone past Romeo leaving Juliet to head off into exile, you’re in Act 3. Click on the link for ‘Romeo and Juliet 4 – Act 3’ and complete tasks.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7F11A0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t>I’m well past all that, Romeo has left… Juliet has been told to marry Paris and she’s pretending to be dead!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F11A0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As long as you haven’t gone past Juliet’s ‘dead’ body being found, you’re in Act 4. Click on the link for ‘Romeo and Juliet 5 – Act 4’ and complete tasks.</w:t>
            </w:r>
          </w:p>
        </w:tc>
      </w:tr>
      <w:tr w:rsidR="0097127E" w:rsidTr="00FB4623">
        <w:tc>
          <w:tcPr>
            <w:tcW w:w="5524" w:type="dxa"/>
            <w:shd w:val="clear" w:color="auto" w:fill="DEEAF6" w:themeFill="accent1" w:themeFillTint="33"/>
          </w:tcPr>
          <w:p w:rsidR="0097127E" w:rsidRPr="00FB4623" w:rsidRDefault="007F11A0" w:rsidP="00DE1D93">
            <w:pPr>
              <w:rPr>
                <w:color w:val="002060"/>
                <w:sz w:val="28"/>
                <w:lang w:val="en-US"/>
              </w:rPr>
            </w:pPr>
            <w:r w:rsidRPr="00FB4623">
              <w:rPr>
                <w:color w:val="002060"/>
                <w:sz w:val="28"/>
                <w:lang w:val="en-US"/>
              </w:rPr>
              <w:lastRenderedPageBreak/>
              <w:t>I’m near or at the end. Romeo thinks Juliet is dead and has rushed back to Verona to her tomb!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97127E" w:rsidRPr="00FB4623" w:rsidRDefault="007F11A0" w:rsidP="00DE1D93">
            <w:pPr>
              <w:rPr>
                <w:color w:val="7030A0"/>
                <w:sz w:val="28"/>
                <w:lang w:val="en-US"/>
              </w:rPr>
            </w:pPr>
            <w:r w:rsidRPr="00FB4623">
              <w:rPr>
                <w:color w:val="7030A0"/>
                <w:sz w:val="28"/>
                <w:lang w:val="en-US"/>
              </w:rPr>
              <w:t>You’re in the final act! Click on the link for ‘Romeo and Juliet 6 – Act 5’ and complete tasks</w:t>
            </w:r>
          </w:p>
        </w:tc>
      </w:tr>
    </w:tbl>
    <w:p w:rsidR="0097127E" w:rsidRPr="00DE1D93" w:rsidRDefault="0097127E" w:rsidP="00DE1D93">
      <w:pPr>
        <w:rPr>
          <w:sz w:val="32"/>
          <w:lang w:val="en-US"/>
        </w:rPr>
      </w:pPr>
    </w:p>
    <w:sectPr w:rsidR="0097127E" w:rsidRPr="00DE1D93" w:rsidSect="00FB46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C42"/>
    <w:multiLevelType w:val="hybridMultilevel"/>
    <w:tmpl w:val="DFEE2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93"/>
    <w:rsid w:val="00003D83"/>
    <w:rsid w:val="0061181B"/>
    <w:rsid w:val="00772505"/>
    <w:rsid w:val="007F11A0"/>
    <w:rsid w:val="0097127E"/>
    <w:rsid w:val="00DE1D9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6A27"/>
  <w15:chartTrackingRefBased/>
  <w15:docId w15:val="{A24DACE3-9F77-41EE-B653-C7817F5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c.org.uk/shakespeare-learning-zone/romeo-and-juliet/story/scene-by-scene#:~:text=Act%201%20Scene%201,Tybalt%20arrives%20things%20get%20wor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2022-02-02T11:55:00Z</dcterms:created>
  <dcterms:modified xsi:type="dcterms:W3CDTF">2022-02-09T13:44:00Z</dcterms:modified>
</cp:coreProperties>
</file>